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01B4" w14:textId="77777777" w:rsidR="00A664E4" w:rsidRDefault="00A664E4">
      <w:pPr>
        <w:spacing w:before="1200"/>
      </w:pPr>
    </w:p>
    <w:p w14:paraId="1D3B3FBF" w14:textId="77777777" w:rsidR="00A664E4" w:rsidRDefault="00000000">
      <w:pPr>
        <w:spacing w:after="60"/>
        <w:jc w:val="center"/>
      </w:pPr>
      <w:r>
        <w:rPr>
          <w:b/>
          <w:bCs/>
          <w:color w:val="2E75B6"/>
          <w:sz w:val="26"/>
          <w:szCs w:val="26"/>
        </w:rPr>
        <w:t>ERP SİSTEMİ GELİŞTİRME PROJESİ</w:t>
      </w:r>
    </w:p>
    <w:p w14:paraId="0509356B" w14:textId="77777777" w:rsidR="00A664E4" w:rsidRDefault="00000000">
      <w:pPr>
        <w:spacing w:after="360"/>
        <w:jc w:val="center"/>
      </w:pPr>
      <w:r>
        <w:rPr>
          <w:i/>
          <w:iCs/>
          <w:color w:val="5A5A5A"/>
          <w:sz w:val="21"/>
          <w:szCs w:val="21"/>
        </w:rPr>
        <w:t>AI Destekli Bütünleşik Kurumsal Kaynak Planlaması</w:t>
      </w:r>
    </w:p>
    <w:p w14:paraId="4D52F1BC" w14:textId="77777777" w:rsidR="00A664E4" w:rsidRDefault="00000000">
      <w:pPr>
        <w:pBdr>
          <w:top w:val="single" w:sz="12" w:space="4" w:color="1F7070"/>
          <w:bottom w:val="single" w:sz="12" w:space="4" w:color="1F7070"/>
        </w:pBdr>
        <w:spacing w:after="100"/>
        <w:jc w:val="center"/>
      </w:pPr>
      <w:r>
        <w:rPr>
          <w:b/>
          <w:bCs/>
          <w:color w:val="1A3A5C"/>
          <w:sz w:val="48"/>
          <w:szCs w:val="48"/>
        </w:rPr>
        <w:t>07 – ETİK DEĞERLENDİRME</w:t>
      </w:r>
    </w:p>
    <w:p w14:paraId="0210850E" w14:textId="77777777" w:rsidR="00A664E4" w:rsidRDefault="00000000">
      <w:pPr>
        <w:spacing w:before="80" w:after="40"/>
        <w:jc w:val="center"/>
      </w:pPr>
      <w:r>
        <w:rPr>
          <w:b/>
          <w:bCs/>
          <w:color w:val="1F7070"/>
          <w:sz w:val="28"/>
          <w:szCs w:val="28"/>
        </w:rPr>
        <w:t>ve Veri Gizliliği Politikası</w:t>
      </w:r>
    </w:p>
    <w:p w14:paraId="4ECD0FB3" w14:textId="77777777" w:rsidR="00A664E4" w:rsidRDefault="00A664E4">
      <w:pPr>
        <w:spacing w:before="80"/>
      </w:pPr>
    </w:p>
    <w:p w14:paraId="2BE026EA" w14:textId="77777777" w:rsidR="00A664E4" w:rsidRDefault="00000000">
      <w:pPr>
        <w:jc w:val="center"/>
      </w:pPr>
      <w:proofErr w:type="spellStart"/>
      <w:r>
        <w:rPr>
          <w:i/>
          <w:iCs/>
          <w:color w:val="5A5A5A"/>
          <w:sz w:val="19"/>
          <w:szCs w:val="19"/>
        </w:rPr>
        <w:t>Responsible</w:t>
      </w:r>
      <w:proofErr w:type="spellEnd"/>
      <w:r>
        <w:rPr>
          <w:i/>
          <w:iCs/>
          <w:color w:val="5A5A5A"/>
          <w:sz w:val="19"/>
          <w:szCs w:val="19"/>
        </w:rPr>
        <w:t xml:space="preserve"> AI · KVKK Uyumu · Şeffaflık · İnsan Odaklı Tasarım</w:t>
      </w:r>
    </w:p>
    <w:p w14:paraId="5141A42A" w14:textId="77777777" w:rsidR="00A664E4" w:rsidRDefault="00A664E4">
      <w:pPr>
        <w:spacing w:before="5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tblGrid>
      <w:tr w:rsidR="00A664E4" w14:paraId="3D73E7E0"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5E43D232" w14:textId="77777777" w:rsidR="00A664E4" w:rsidRDefault="00000000">
            <w:pPr>
              <w:spacing w:after="80"/>
            </w:pPr>
            <w:r>
              <w:rPr>
                <w:b/>
                <w:bCs/>
                <w:color w:val="1A3A5C"/>
                <w:sz w:val="19"/>
                <w:szCs w:val="19"/>
              </w:rPr>
              <w:t>Proje Adı</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6AE3BA6D" w14:textId="77777777" w:rsidR="00A664E4" w:rsidRDefault="00000000">
            <w:pPr>
              <w:spacing w:after="80"/>
            </w:pPr>
            <w:r>
              <w:rPr>
                <w:sz w:val="19"/>
                <w:szCs w:val="19"/>
              </w:rPr>
              <w:t>AI Destekli ERP Sistemi</w:t>
            </w:r>
          </w:p>
        </w:tc>
      </w:tr>
      <w:tr w:rsidR="00A664E4" w14:paraId="43CC3ACF"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22935504" w14:textId="77777777" w:rsidR="00A664E4" w:rsidRDefault="00000000">
            <w:pPr>
              <w:spacing w:after="80"/>
            </w:pPr>
            <w:r>
              <w:rPr>
                <w:b/>
                <w:bCs/>
                <w:color w:val="1A3A5C"/>
                <w:sz w:val="19"/>
                <w:szCs w:val="19"/>
              </w:rPr>
              <w:t>Belge No</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09314FBA" w14:textId="77777777" w:rsidR="00A664E4" w:rsidRDefault="00000000">
            <w:pPr>
              <w:spacing w:after="80"/>
            </w:pPr>
            <w:r>
              <w:rPr>
                <w:sz w:val="19"/>
                <w:szCs w:val="19"/>
              </w:rPr>
              <w:t>ERP-SPMP-007</w:t>
            </w:r>
          </w:p>
        </w:tc>
      </w:tr>
      <w:tr w:rsidR="00A664E4" w14:paraId="1D10FB6C"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0CF8DF6F" w14:textId="77777777" w:rsidR="00A664E4" w:rsidRDefault="00000000">
            <w:pPr>
              <w:spacing w:after="80"/>
            </w:pPr>
            <w:r>
              <w:rPr>
                <w:b/>
                <w:bCs/>
                <w:color w:val="1A3A5C"/>
                <w:sz w:val="19"/>
                <w:szCs w:val="19"/>
              </w:rPr>
              <w:t>Versiyon</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42A05CB2" w14:textId="77777777" w:rsidR="00A664E4" w:rsidRDefault="00000000">
            <w:pPr>
              <w:spacing w:after="80"/>
            </w:pPr>
            <w:r>
              <w:rPr>
                <w:sz w:val="19"/>
                <w:szCs w:val="19"/>
              </w:rPr>
              <w:t>1.0</w:t>
            </w:r>
          </w:p>
        </w:tc>
      </w:tr>
      <w:tr w:rsidR="00A664E4" w14:paraId="19C30840"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2F8A2126" w14:textId="77777777" w:rsidR="00A664E4" w:rsidRDefault="00000000">
            <w:pPr>
              <w:spacing w:after="80"/>
            </w:pPr>
            <w:r>
              <w:rPr>
                <w:b/>
                <w:bCs/>
                <w:color w:val="1A3A5C"/>
                <w:sz w:val="19"/>
                <w:szCs w:val="19"/>
              </w:rPr>
              <w:t>Tarih</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61266A25" w14:textId="77777777" w:rsidR="00A664E4" w:rsidRDefault="00000000">
            <w:pPr>
              <w:spacing w:after="80"/>
            </w:pPr>
            <w:r>
              <w:rPr>
                <w:sz w:val="19"/>
                <w:szCs w:val="19"/>
              </w:rPr>
              <w:t>30 Nisan 2026</w:t>
            </w:r>
          </w:p>
        </w:tc>
      </w:tr>
      <w:tr w:rsidR="00A664E4" w14:paraId="472DD939"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6A204DEC" w14:textId="77777777" w:rsidR="00A664E4" w:rsidRDefault="00000000">
            <w:pPr>
              <w:spacing w:after="80"/>
            </w:pPr>
            <w:r>
              <w:rPr>
                <w:b/>
                <w:bCs/>
                <w:color w:val="1A3A5C"/>
                <w:sz w:val="19"/>
                <w:szCs w:val="19"/>
              </w:rPr>
              <w:t>Hazırlayan</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745A4C4B" w14:textId="3F58A7E0" w:rsidR="00A664E4" w:rsidRDefault="00D310F5">
            <w:pPr>
              <w:spacing w:after="80"/>
            </w:pPr>
            <w:r>
              <w:rPr>
                <w:sz w:val="19"/>
                <w:szCs w:val="19"/>
              </w:rPr>
              <w:t xml:space="preserve">Poyraz </w:t>
            </w:r>
            <w:proofErr w:type="spellStart"/>
            <w:r>
              <w:rPr>
                <w:sz w:val="19"/>
                <w:szCs w:val="19"/>
              </w:rPr>
              <w:t>Avsever</w:t>
            </w:r>
            <w:proofErr w:type="spellEnd"/>
            <w:r>
              <w:rPr>
                <w:sz w:val="19"/>
                <w:szCs w:val="19"/>
              </w:rPr>
              <w:t xml:space="preserve"> - </w:t>
            </w:r>
            <w:r w:rsidR="00000000">
              <w:rPr>
                <w:sz w:val="19"/>
                <w:szCs w:val="19"/>
              </w:rPr>
              <w:t>Proje Yöneticisi</w:t>
            </w:r>
          </w:p>
        </w:tc>
      </w:tr>
      <w:tr w:rsidR="00A664E4" w14:paraId="1FD8623D"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44F342D6" w14:textId="77777777" w:rsidR="00A664E4" w:rsidRDefault="00000000">
            <w:pPr>
              <w:spacing w:after="80"/>
            </w:pPr>
            <w:r>
              <w:rPr>
                <w:b/>
                <w:bCs/>
                <w:color w:val="1A3A5C"/>
                <w:sz w:val="19"/>
                <w:szCs w:val="19"/>
              </w:rPr>
              <w:t>Onaylayan</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4357F17F" w14:textId="41785A96" w:rsidR="00A664E4" w:rsidRDefault="00D310F5">
            <w:pPr>
              <w:spacing w:after="80"/>
            </w:pPr>
            <w:r>
              <w:rPr>
                <w:sz w:val="19"/>
                <w:szCs w:val="19"/>
              </w:rPr>
              <w:t xml:space="preserve">Harun Akbaş - </w:t>
            </w:r>
            <w:r w:rsidR="00000000">
              <w:rPr>
                <w:sz w:val="19"/>
                <w:szCs w:val="19"/>
              </w:rPr>
              <w:t>Proje Danışmanı</w:t>
            </w:r>
          </w:p>
        </w:tc>
      </w:tr>
      <w:tr w:rsidR="00A664E4" w14:paraId="0B7B7404"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E8F0FB"/>
            <w:tcMar>
              <w:top w:w="100" w:type="dxa"/>
              <w:left w:w="150" w:type="dxa"/>
              <w:bottom w:w="100" w:type="dxa"/>
              <w:right w:w="150" w:type="dxa"/>
            </w:tcMar>
            <w:vAlign w:val="center"/>
          </w:tcPr>
          <w:p w14:paraId="4B3D947A" w14:textId="77777777" w:rsidR="00A664E4" w:rsidRDefault="00000000">
            <w:pPr>
              <w:spacing w:after="80"/>
            </w:pPr>
            <w:r>
              <w:rPr>
                <w:b/>
                <w:bCs/>
                <w:color w:val="1A3A5C"/>
                <w:sz w:val="19"/>
                <w:szCs w:val="19"/>
              </w:rPr>
              <w:t>Kapsam</w:t>
            </w:r>
          </w:p>
        </w:tc>
        <w:tc>
          <w:tcPr>
            <w:tcW w:w="360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1475EFC1" w14:textId="77777777" w:rsidR="00A664E4" w:rsidRDefault="00000000">
            <w:pPr>
              <w:spacing w:after="80"/>
            </w:pPr>
            <w:r>
              <w:rPr>
                <w:sz w:val="19"/>
                <w:szCs w:val="19"/>
              </w:rPr>
              <w:t>Tüm AI Modülleri &amp; Kişisel Veri İşleme</w:t>
            </w:r>
          </w:p>
        </w:tc>
      </w:tr>
    </w:tbl>
    <w:p w14:paraId="1A1E7A13" w14:textId="77777777" w:rsidR="00A664E4" w:rsidRDefault="00000000">
      <w:r>
        <w:br/>
      </w:r>
    </w:p>
    <w:p w14:paraId="1E3DDC5B" w14:textId="77777777" w:rsidR="00A664E4" w:rsidRDefault="00000000">
      <w:pPr>
        <w:pStyle w:val="Balk1"/>
        <w:pBdr>
          <w:bottom w:val="single" w:sz="8" w:space="1" w:color="1F7070"/>
        </w:pBdr>
      </w:pPr>
      <w:r>
        <w:t>1. Yapay Zeka Kullanımında Etik İlkeler</w:t>
      </w:r>
    </w:p>
    <w:p w14:paraId="463B6467" w14:textId="77777777" w:rsidR="00A664E4" w:rsidRDefault="00000000">
      <w:pPr>
        <w:spacing w:before="60" w:after="100"/>
        <w:jc w:val="both"/>
      </w:pPr>
      <w:r>
        <w:t xml:space="preserve">Bu ERP sistemi, Ön Muhasebe (OCR &amp; fatura analizi), İnsan Kaynakları (CV analizi ve eşleştirme) ve Stok Yönetimi (tahmine dayalı uyarı) olmak üzere üç temel alanda yapay zeka bileşenleri kullanmaktadır. Geliştirme ve işletim sürecinde Avrupa Birliği Yapay Zeka Yasası (EU AI </w:t>
      </w:r>
      <w:proofErr w:type="spellStart"/>
      <w:r>
        <w:t>Act</w:t>
      </w:r>
      <w:proofErr w:type="spellEnd"/>
      <w:r>
        <w:t>), KVKK ve ISO/IEC 42001 (AI Yönetim Sistemi) standartları referans alınmaktadır.</w:t>
      </w:r>
    </w:p>
    <w:p w14:paraId="6F8798FC"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A664E4" w14:paraId="7019E233" w14:textId="77777777">
        <w:tblPrEx>
          <w:tblCellMar>
            <w:top w:w="0" w:type="dxa"/>
            <w:bottom w:w="0" w:type="dxa"/>
          </w:tblCellMar>
        </w:tblPrEx>
        <w:trPr>
          <w:tblHeader/>
        </w:trPr>
        <w:tc>
          <w:tcPr>
            <w:tcW w:w="4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4004E605" w14:textId="77777777" w:rsidR="00A664E4" w:rsidRDefault="00000000">
            <w:pPr>
              <w:spacing w:after="80"/>
              <w:jc w:val="center"/>
            </w:pPr>
            <w:r>
              <w:rPr>
                <w:b/>
                <w:bCs/>
                <w:color w:val="FFFFFF"/>
                <w:sz w:val="18"/>
                <w:szCs w:val="18"/>
              </w:rPr>
              <w:t>Etik İlke</w:t>
            </w:r>
          </w:p>
        </w:tc>
        <w:tc>
          <w:tcPr>
            <w:tcW w:w="516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16F92C01" w14:textId="77777777" w:rsidR="00A664E4" w:rsidRDefault="00000000">
            <w:pPr>
              <w:spacing w:after="80"/>
              <w:jc w:val="center"/>
            </w:pPr>
            <w:r>
              <w:rPr>
                <w:b/>
                <w:bCs/>
                <w:color w:val="FFFFFF"/>
                <w:sz w:val="18"/>
                <w:szCs w:val="18"/>
              </w:rPr>
              <w:t>Açıklama</w:t>
            </w:r>
          </w:p>
        </w:tc>
      </w:tr>
      <w:tr w:rsidR="00A664E4" w14:paraId="2A25F221"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2C07B571" w14:textId="77777777" w:rsidR="00A664E4" w:rsidRDefault="00000000">
            <w:pPr>
              <w:spacing w:after="80"/>
            </w:pPr>
            <w:r>
              <w:rPr>
                <w:b/>
                <w:bCs/>
                <w:color w:val="1F7070"/>
                <w:sz w:val="19"/>
                <w:szCs w:val="19"/>
              </w:rPr>
              <w:t>Adalet ve Tarafsızlık</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EC86DB8" w14:textId="77777777" w:rsidR="00A664E4" w:rsidRDefault="00000000">
            <w:pPr>
              <w:spacing w:after="80"/>
            </w:pPr>
            <w:r>
              <w:rPr>
                <w:sz w:val="19"/>
                <w:szCs w:val="19"/>
              </w:rPr>
              <w:t>Algoritmalar, kullanıcıları ırk, cinsiyet, yaş veya etnik kökene göre ayrımcı biçimde etkilememelidir. CV analizi bu ilkenin öncelikli uygulama alanıdır.</w:t>
            </w:r>
          </w:p>
        </w:tc>
      </w:tr>
      <w:tr w:rsidR="00A664E4" w14:paraId="63CB4B18"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0CC69E01" w14:textId="77777777" w:rsidR="00A664E4" w:rsidRDefault="00000000">
            <w:pPr>
              <w:spacing w:after="80"/>
            </w:pPr>
            <w:r>
              <w:rPr>
                <w:b/>
                <w:bCs/>
                <w:color w:val="1F7070"/>
                <w:sz w:val="19"/>
                <w:szCs w:val="19"/>
              </w:rPr>
              <w:t>Şeffaflık</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AA840D0" w14:textId="77777777" w:rsidR="00A664E4" w:rsidRDefault="00000000">
            <w:pPr>
              <w:spacing w:after="80"/>
            </w:pPr>
            <w:r>
              <w:rPr>
                <w:sz w:val="19"/>
                <w:szCs w:val="19"/>
              </w:rPr>
              <w:t>Sistem, bir AI kararının neden üretildiğini açıklayabilmeli; kullanıcı kararın yapay zeka tarafından verildiğini her zaman bilmelidir.</w:t>
            </w:r>
          </w:p>
        </w:tc>
      </w:tr>
      <w:tr w:rsidR="00A664E4" w14:paraId="19EADE06"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090CC844" w14:textId="77777777" w:rsidR="00A664E4" w:rsidRDefault="00000000">
            <w:pPr>
              <w:spacing w:after="80"/>
            </w:pPr>
            <w:r>
              <w:rPr>
                <w:b/>
                <w:bCs/>
                <w:color w:val="1F7070"/>
                <w:sz w:val="19"/>
                <w:szCs w:val="19"/>
              </w:rPr>
              <w:t>İnsan Denetimi</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A6B856F" w14:textId="77777777" w:rsidR="00A664E4" w:rsidRDefault="00000000">
            <w:pPr>
              <w:spacing w:after="80"/>
            </w:pPr>
            <w:r>
              <w:rPr>
                <w:sz w:val="19"/>
                <w:szCs w:val="19"/>
              </w:rPr>
              <w:t>Bireyler üzerinde etkisi olan hiçbir AI kararı insan onayı alınmadan kesinleşmez. Kullanıcı her AI önerisini reddedebilir veya düzenleyebilir.</w:t>
            </w:r>
          </w:p>
        </w:tc>
      </w:tr>
      <w:tr w:rsidR="00A664E4" w14:paraId="3FBC8B0B"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625458D4" w14:textId="77777777" w:rsidR="00A664E4" w:rsidRDefault="00000000">
            <w:pPr>
              <w:spacing w:after="80"/>
            </w:pPr>
            <w:r>
              <w:rPr>
                <w:b/>
                <w:bCs/>
                <w:color w:val="1F7070"/>
                <w:sz w:val="19"/>
                <w:szCs w:val="19"/>
              </w:rPr>
              <w:lastRenderedPageBreak/>
              <w:t>Veri Minimizasyonu</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8E0B640" w14:textId="77777777" w:rsidR="00A664E4" w:rsidRDefault="00000000">
            <w:pPr>
              <w:spacing w:after="80"/>
            </w:pPr>
            <w:r>
              <w:rPr>
                <w:sz w:val="19"/>
                <w:szCs w:val="19"/>
              </w:rPr>
              <w:t>Yalnızca amacın gerektirdiği veriler toplanır ve işlenir. Gereksiz kişisel veri depolanmaz.</w:t>
            </w:r>
          </w:p>
        </w:tc>
      </w:tr>
      <w:tr w:rsidR="00A664E4" w14:paraId="3682141A"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3F2EFE03" w14:textId="77777777" w:rsidR="00A664E4" w:rsidRDefault="00000000">
            <w:pPr>
              <w:spacing w:after="80"/>
            </w:pPr>
            <w:r>
              <w:rPr>
                <w:b/>
                <w:bCs/>
                <w:color w:val="1F7070"/>
                <w:sz w:val="19"/>
                <w:szCs w:val="19"/>
              </w:rPr>
              <w:t>Hesap Verebilirlik</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8D38AD7" w14:textId="77777777" w:rsidR="00A664E4" w:rsidRDefault="00000000">
            <w:pPr>
              <w:spacing w:after="80"/>
            </w:pPr>
            <w:r>
              <w:rPr>
                <w:sz w:val="19"/>
                <w:szCs w:val="19"/>
              </w:rPr>
              <w:t>Her AI bileşeninin sorumlu sahibi (rol) tanımlanmıştır. Hatalı çıktılar izlenebilir ve raporlanabilir şekilde loglanır.</w:t>
            </w:r>
          </w:p>
        </w:tc>
      </w:tr>
      <w:tr w:rsidR="00A664E4" w14:paraId="4E122927"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3749F38D" w14:textId="77777777" w:rsidR="00A664E4" w:rsidRDefault="00000000">
            <w:pPr>
              <w:spacing w:after="80"/>
            </w:pPr>
            <w:r>
              <w:rPr>
                <w:b/>
                <w:bCs/>
                <w:color w:val="1F7070"/>
                <w:sz w:val="19"/>
                <w:szCs w:val="19"/>
              </w:rPr>
              <w:t>Güvenlik ve Mahremiyet</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2B11345A" w14:textId="77777777" w:rsidR="00A664E4" w:rsidRDefault="00000000">
            <w:pPr>
              <w:spacing w:after="80"/>
            </w:pPr>
            <w:r>
              <w:rPr>
                <w:sz w:val="19"/>
                <w:szCs w:val="19"/>
              </w:rPr>
              <w:t>Kişisel veriler varsayılan olarak korunur (</w:t>
            </w:r>
            <w:proofErr w:type="spellStart"/>
            <w:r>
              <w:rPr>
                <w:sz w:val="19"/>
                <w:szCs w:val="19"/>
              </w:rPr>
              <w:t>privacy</w:t>
            </w:r>
            <w:proofErr w:type="spellEnd"/>
            <w:r>
              <w:rPr>
                <w:sz w:val="19"/>
                <w:szCs w:val="19"/>
              </w:rPr>
              <w:t xml:space="preserve"> </w:t>
            </w:r>
            <w:proofErr w:type="spellStart"/>
            <w:r>
              <w:rPr>
                <w:sz w:val="19"/>
                <w:szCs w:val="19"/>
              </w:rPr>
              <w:t>by</w:t>
            </w:r>
            <w:proofErr w:type="spellEnd"/>
            <w:r>
              <w:rPr>
                <w:sz w:val="19"/>
                <w:szCs w:val="19"/>
              </w:rPr>
              <w:t xml:space="preserve"> </w:t>
            </w:r>
            <w:proofErr w:type="spellStart"/>
            <w:r>
              <w:rPr>
                <w:sz w:val="19"/>
                <w:szCs w:val="19"/>
              </w:rPr>
              <w:t>design</w:t>
            </w:r>
            <w:proofErr w:type="spellEnd"/>
            <w:r>
              <w:rPr>
                <w:sz w:val="19"/>
                <w:szCs w:val="19"/>
              </w:rPr>
              <w:t>). Şifreleme ve erişim kontrolü tasarımın ayrılmaz parçasıdır.</w:t>
            </w:r>
          </w:p>
        </w:tc>
      </w:tr>
      <w:tr w:rsidR="00A664E4" w14:paraId="4805B93C" w14:textId="77777777">
        <w:tblPrEx>
          <w:tblCellMar>
            <w:top w:w="0" w:type="dxa"/>
            <w:bottom w:w="0" w:type="dxa"/>
          </w:tblCellMar>
        </w:tblPrEx>
        <w:tc>
          <w:tcPr>
            <w:tcW w:w="4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29C18972" w14:textId="77777777" w:rsidR="00A664E4" w:rsidRDefault="00000000">
            <w:pPr>
              <w:spacing w:after="80"/>
            </w:pPr>
            <w:r>
              <w:rPr>
                <w:b/>
                <w:bCs/>
                <w:color w:val="1F7070"/>
                <w:sz w:val="19"/>
                <w:szCs w:val="19"/>
              </w:rPr>
              <w:t>Sürekli İyileştirme</w:t>
            </w:r>
          </w:p>
        </w:tc>
        <w:tc>
          <w:tcPr>
            <w:tcW w:w="5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0C2B0D0" w14:textId="77777777" w:rsidR="00A664E4" w:rsidRDefault="00000000">
            <w:pPr>
              <w:spacing w:after="80"/>
            </w:pPr>
            <w:r>
              <w:rPr>
                <w:sz w:val="19"/>
                <w:szCs w:val="19"/>
              </w:rPr>
              <w:t>AI modelleri düzenli olarak değerlendirilir; yanlılık, hata oranı ve etik etkiler periyodik raporlarla takip edilir.</w:t>
            </w:r>
          </w:p>
        </w:tc>
      </w:tr>
    </w:tbl>
    <w:p w14:paraId="1EA009F1" w14:textId="77777777" w:rsidR="00A664E4" w:rsidRDefault="00A664E4">
      <w:pPr>
        <w:spacing w:before="100"/>
      </w:pPr>
    </w:p>
    <w:p w14:paraId="7CAA2B01" w14:textId="77777777" w:rsidR="00A664E4" w:rsidRDefault="00000000">
      <w:pPr>
        <w:pStyle w:val="Balk1"/>
        <w:pBdr>
          <w:bottom w:val="single" w:sz="8" w:space="1" w:color="1F7070"/>
        </w:pBdr>
      </w:pPr>
      <w:r>
        <w:t>2. CV Analizinde Ayrımcılık Riski</w:t>
      </w:r>
    </w:p>
    <w:p w14:paraId="2740B801" w14:textId="77777777" w:rsidR="00A664E4" w:rsidRDefault="00000000">
      <w:pPr>
        <w:spacing w:before="60" w:after="100"/>
        <w:jc w:val="both"/>
      </w:pPr>
      <w:r>
        <w:t xml:space="preserve">İşe alım sürecine entegre edilen AI, geçmiş işe alım verilerindeki tarihsel önyargıları öğrenirse sistematik ayrımcılığı pekiştirebilir. Bu risk, 6698 sayılı </w:t>
      </w:r>
      <w:proofErr w:type="spellStart"/>
      <w:r>
        <w:t>KVKK'nın</w:t>
      </w:r>
      <w:proofErr w:type="spellEnd"/>
      <w:r>
        <w:t xml:space="preserve"> 6. maddesi kapsamındaki özel nitelikli kişisel verileri ve Anayasa'nın 10. maddesi ile İş Kanunu'nun 5. maddesinde güvence altına alınan eşit muamele ilkesini doğrudan ilgilendirmektedir.</w:t>
      </w:r>
    </w:p>
    <w:p w14:paraId="78DFD4E7"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64E4" w14:paraId="25390B70" w14:textId="77777777">
        <w:tblPrEx>
          <w:tblCellMar>
            <w:top w:w="0" w:type="dxa"/>
            <w:bottom w:w="0" w:type="dxa"/>
          </w:tblCellMar>
        </w:tblPrEx>
        <w:tc>
          <w:tcPr>
            <w:tcW w:w="9360" w:type="dxa"/>
            <w:tcBorders>
              <w:top w:val="single" w:sz="4" w:space="0" w:color="C00000"/>
              <w:left w:val="single" w:sz="4" w:space="0" w:color="C00000"/>
              <w:bottom w:val="single" w:sz="4" w:space="0" w:color="C00000"/>
              <w:right w:val="single" w:sz="4" w:space="0" w:color="C00000"/>
            </w:tcBorders>
            <w:shd w:val="clear" w:color="auto" w:fill="FDECEA"/>
            <w:tcMar>
              <w:top w:w="100" w:type="dxa"/>
              <w:left w:w="150" w:type="dxa"/>
              <w:bottom w:w="100" w:type="dxa"/>
              <w:right w:w="150" w:type="dxa"/>
            </w:tcMar>
            <w:vAlign w:val="center"/>
          </w:tcPr>
          <w:p w14:paraId="3DF79A41" w14:textId="77777777" w:rsidR="00A664E4" w:rsidRDefault="00000000">
            <w:pPr>
              <w:spacing w:after="60"/>
            </w:pPr>
            <w:r>
              <w:rPr>
                <w:b/>
                <w:bCs/>
                <w:color w:val="1F7070"/>
              </w:rPr>
              <w:t>⚠  Yüksek Riskli Karar Alanı</w:t>
            </w:r>
          </w:p>
          <w:p w14:paraId="5EE57EA9" w14:textId="77777777" w:rsidR="00A664E4" w:rsidRDefault="00000000">
            <w:pPr>
              <w:spacing w:after="80"/>
            </w:pPr>
            <w:r>
              <w:rPr>
                <w:sz w:val="19"/>
                <w:szCs w:val="19"/>
              </w:rPr>
              <w:t xml:space="preserve">AB Yapay Zeka Yasası (EU AI </w:t>
            </w:r>
            <w:proofErr w:type="spellStart"/>
            <w:r>
              <w:rPr>
                <w:sz w:val="19"/>
                <w:szCs w:val="19"/>
              </w:rPr>
              <w:t>Act</w:t>
            </w:r>
            <w:proofErr w:type="spellEnd"/>
            <w:r>
              <w:rPr>
                <w:sz w:val="19"/>
                <w:szCs w:val="19"/>
              </w:rPr>
              <w:t>) çerçevesinde işe alım süreçlerinde kullanılan AI sistemleri 'Yüksek Riskli AI Sistemleri' kategorisinde değerlendirilmektedir. Bu kategori, zorunlu şeffaflık yükümlülükleri, insan gözetimi ve belgeleme gereksinimleri doğurmaktadır.</w:t>
            </w:r>
          </w:p>
        </w:tc>
      </w:tr>
    </w:tbl>
    <w:p w14:paraId="18788CB3" w14:textId="77777777" w:rsidR="00A664E4" w:rsidRDefault="00A664E4">
      <w:pPr>
        <w:spacing w:before="100"/>
      </w:pPr>
    </w:p>
    <w:p w14:paraId="63BA6DAA" w14:textId="77777777" w:rsidR="00A664E4" w:rsidRDefault="00000000">
      <w:pPr>
        <w:pStyle w:val="Balk2"/>
      </w:pPr>
      <w:r>
        <w:t>2.1 Teknik Önlemler</w:t>
      </w:r>
    </w:p>
    <w:p w14:paraId="020E0D45" w14:textId="77777777" w:rsidR="00A664E4" w:rsidRDefault="00000000">
      <w:pPr>
        <w:pStyle w:val="ListeParagraf"/>
        <w:numPr>
          <w:ilvl w:val="0"/>
          <w:numId w:val="2"/>
        </w:numPr>
        <w:spacing w:before="40" w:after="60"/>
      </w:pPr>
      <w:r>
        <w:rPr>
          <w:sz w:val="19"/>
          <w:szCs w:val="19"/>
        </w:rPr>
        <w:t>CV verilerinden fotoğraf, cinsiyet, doğum tarihi, medeni durum ve adres bilgileri model eğitimi aşamasında maskelenir.</w:t>
      </w:r>
    </w:p>
    <w:p w14:paraId="701FC2DD" w14:textId="77777777" w:rsidR="00A664E4" w:rsidRDefault="00000000">
      <w:pPr>
        <w:pStyle w:val="ListeParagraf"/>
        <w:numPr>
          <w:ilvl w:val="0"/>
          <w:numId w:val="2"/>
        </w:numPr>
        <w:spacing w:before="40" w:after="60"/>
      </w:pPr>
      <w:r>
        <w:rPr>
          <w:sz w:val="19"/>
          <w:szCs w:val="19"/>
        </w:rPr>
        <w:t>Uygunluk skoru yalnızca teknik kriterler üzerinden hesaplanır: beceri eşleşmesi, deneyim süresi, eğitim uyumu.</w:t>
      </w:r>
    </w:p>
    <w:p w14:paraId="0D839E56" w14:textId="77777777" w:rsidR="00A664E4" w:rsidRDefault="00000000">
      <w:pPr>
        <w:pStyle w:val="ListeParagraf"/>
        <w:numPr>
          <w:ilvl w:val="0"/>
          <w:numId w:val="2"/>
        </w:numPr>
        <w:spacing w:before="40" w:after="60"/>
      </w:pPr>
      <w:r>
        <w:rPr>
          <w:sz w:val="19"/>
          <w:szCs w:val="19"/>
        </w:rPr>
        <w:t>Model çıktıları farklı demografik gruplar için yanlılık testi (</w:t>
      </w:r>
      <w:proofErr w:type="spellStart"/>
      <w:r>
        <w:rPr>
          <w:sz w:val="19"/>
          <w:szCs w:val="19"/>
        </w:rPr>
        <w:t>bias</w:t>
      </w:r>
      <w:proofErr w:type="spellEnd"/>
      <w:r>
        <w:rPr>
          <w:sz w:val="19"/>
          <w:szCs w:val="19"/>
        </w:rPr>
        <w:t xml:space="preserve"> </w:t>
      </w:r>
      <w:proofErr w:type="spellStart"/>
      <w:r>
        <w:rPr>
          <w:sz w:val="19"/>
          <w:szCs w:val="19"/>
        </w:rPr>
        <w:t>audit</w:t>
      </w:r>
      <w:proofErr w:type="spellEnd"/>
      <w:r>
        <w:rPr>
          <w:sz w:val="19"/>
          <w:szCs w:val="19"/>
        </w:rPr>
        <w:t>) ile doğrulanır; sapma toleransı ±%5 olarak belirlenmiştir.</w:t>
      </w:r>
    </w:p>
    <w:p w14:paraId="0D5E1200" w14:textId="77777777" w:rsidR="00A664E4" w:rsidRDefault="00000000">
      <w:pPr>
        <w:pStyle w:val="ListeParagraf"/>
        <w:numPr>
          <w:ilvl w:val="0"/>
          <w:numId w:val="2"/>
        </w:numPr>
        <w:spacing w:before="40" w:after="60"/>
      </w:pPr>
      <w:r>
        <w:rPr>
          <w:sz w:val="19"/>
          <w:szCs w:val="19"/>
        </w:rPr>
        <w:t>Açıklanabilir AI (XAI) yöntemi kullanılarak hangi kriterin skoru nasıl etkilediği kullanıcıya gösterilir.</w:t>
      </w:r>
    </w:p>
    <w:p w14:paraId="6CE54BC9" w14:textId="77777777" w:rsidR="00A664E4" w:rsidRDefault="00A664E4">
      <w:pPr>
        <w:spacing w:before="60"/>
      </w:pPr>
    </w:p>
    <w:p w14:paraId="33994A4B" w14:textId="77777777" w:rsidR="00A664E4" w:rsidRDefault="00000000">
      <w:pPr>
        <w:pStyle w:val="Balk2"/>
      </w:pPr>
      <w:r>
        <w:t>2.2 Süreç Önlemleri</w:t>
      </w:r>
    </w:p>
    <w:p w14:paraId="1AC3E4DB" w14:textId="77777777" w:rsidR="00A664E4" w:rsidRDefault="00000000">
      <w:pPr>
        <w:pStyle w:val="ListeParagraf"/>
        <w:numPr>
          <w:ilvl w:val="0"/>
          <w:numId w:val="2"/>
        </w:numPr>
        <w:spacing w:before="40" w:after="60"/>
      </w:pPr>
      <w:r>
        <w:rPr>
          <w:sz w:val="19"/>
          <w:szCs w:val="19"/>
        </w:rPr>
        <w:t>AI çıktısı yalnızca İK uzmanına 'öneri' olarak sunulur; uygunluk skoru kesinleşmiş karar statüsünde değildir.</w:t>
      </w:r>
    </w:p>
    <w:p w14:paraId="682F7594" w14:textId="77777777" w:rsidR="00A664E4" w:rsidRDefault="00000000">
      <w:pPr>
        <w:pStyle w:val="ListeParagraf"/>
        <w:numPr>
          <w:ilvl w:val="0"/>
          <w:numId w:val="2"/>
        </w:numPr>
        <w:spacing w:before="40" w:after="60"/>
      </w:pPr>
      <w:r>
        <w:rPr>
          <w:sz w:val="19"/>
          <w:szCs w:val="19"/>
        </w:rPr>
        <w:t>İK uzmanı AI önerisini reddetme, düzenleme veya gerekçeli olarak geçersiz kılma yetkisine sahiptir.</w:t>
      </w:r>
    </w:p>
    <w:p w14:paraId="7FBEAEAA" w14:textId="77777777" w:rsidR="00A664E4" w:rsidRDefault="00000000">
      <w:pPr>
        <w:pStyle w:val="ListeParagraf"/>
        <w:numPr>
          <w:ilvl w:val="0"/>
          <w:numId w:val="2"/>
        </w:numPr>
        <w:spacing w:before="40" w:after="60"/>
      </w:pPr>
      <w:r>
        <w:rPr>
          <w:sz w:val="19"/>
          <w:szCs w:val="19"/>
        </w:rPr>
        <w:t>Aday başvuruları, AI tarafından elenmeden önce İK uzmanı tarafından örnekleme yöntemiyle kontrol edilir.</w:t>
      </w:r>
    </w:p>
    <w:p w14:paraId="513FB248" w14:textId="77777777" w:rsidR="00A664E4" w:rsidRDefault="00000000">
      <w:pPr>
        <w:pStyle w:val="ListeParagraf"/>
        <w:numPr>
          <w:ilvl w:val="0"/>
          <w:numId w:val="2"/>
        </w:numPr>
        <w:spacing w:before="40" w:after="60"/>
      </w:pPr>
      <w:r>
        <w:rPr>
          <w:sz w:val="19"/>
          <w:szCs w:val="19"/>
        </w:rPr>
        <w:t>Reddedilen adaylara talep halinde açıklama yapılır; değerlendirme kriterleri şeffaf biçimde paylaşılır.</w:t>
      </w:r>
    </w:p>
    <w:p w14:paraId="13A75E2F" w14:textId="77777777" w:rsidR="00A664E4" w:rsidRDefault="00A664E4">
      <w:pPr>
        <w:spacing w:before="100"/>
      </w:pPr>
    </w:p>
    <w:p w14:paraId="16D4E561" w14:textId="77777777" w:rsidR="00A664E4" w:rsidRDefault="00000000">
      <w:pPr>
        <w:pStyle w:val="Balk1"/>
        <w:pBdr>
          <w:bottom w:val="single" w:sz="8" w:space="1" w:color="1F7070"/>
        </w:pBdr>
      </w:pPr>
      <w:r>
        <w:t>3. Kişisel Verilerin Korunması (KVKK)</w:t>
      </w:r>
    </w:p>
    <w:p w14:paraId="0070657A" w14:textId="77777777" w:rsidR="00A664E4" w:rsidRDefault="00000000">
      <w:pPr>
        <w:spacing w:before="60" w:after="100"/>
        <w:jc w:val="both"/>
      </w:pPr>
      <w:r>
        <w:lastRenderedPageBreak/>
        <w:t>Sistem, 6698 sayılı Kişisel Verilerin Korunması Kanunu kapsamında Veri Sorumlusu sıfatıyla faaliyet göstermektedir. Aşağıda KVKK uyumunun temel gereksinimleri ve sistemin bu gereksinimleri nasıl karşıladığı açıklanmaktadır.</w:t>
      </w:r>
    </w:p>
    <w:p w14:paraId="72F1A560"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664E4" w14:paraId="1B438378" w14:textId="77777777">
        <w:tblPrEx>
          <w:tblCellMar>
            <w:top w:w="0" w:type="dxa"/>
            <w:bottom w:w="0" w:type="dxa"/>
          </w:tblCellMar>
        </w:tblPrEx>
        <w:trPr>
          <w:tblHeader/>
        </w:trPr>
        <w:tc>
          <w:tcPr>
            <w:tcW w:w="3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B624C96" w14:textId="77777777" w:rsidR="00A664E4" w:rsidRDefault="00000000">
            <w:pPr>
              <w:spacing w:after="80"/>
              <w:jc w:val="center"/>
            </w:pPr>
            <w:r>
              <w:rPr>
                <w:b/>
                <w:bCs/>
                <w:color w:val="FFFFFF"/>
                <w:sz w:val="18"/>
                <w:szCs w:val="18"/>
              </w:rPr>
              <w:t>KVKK Yükümlülüğü</w:t>
            </w:r>
          </w:p>
        </w:tc>
        <w:tc>
          <w:tcPr>
            <w:tcW w:w="616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4520ED7C" w14:textId="77777777" w:rsidR="00A664E4" w:rsidRDefault="00000000">
            <w:pPr>
              <w:spacing w:after="80"/>
              <w:jc w:val="center"/>
            </w:pPr>
            <w:r>
              <w:rPr>
                <w:b/>
                <w:bCs/>
                <w:color w:val="FFFFFF"/>
                <w:sz w:val="18"/>
                <w:szCs w:val="18"/>
              </w:rPr>
              <w:t>Sistemdeki Uygulama</w:t>
            </w:r>
          </w:p>
        </w:tc>
      </w:tr>
      <w:tr w:rsidR="00A664E4" w14:paraId="022ABF13"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081748C5" w14:textId="77777777" w:rsidR="00A664E4" w:rsidRDefault="00000000">
            <w:pPr>
              <w:spacing w:after="80"/>
            </w:pPr>
            <w:r>
              <w:rPr>
                <w:b/>
                <w:bCs/>
                <w:color w:val="1F7070"/>
                <w:sz w:val="18"/>
                <w:szCs w:val="18"/>
              </w:rPr>
              <w:t>Aydınlatma Yükümlülüğü (Md. 10)</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04F6D8F" w14:textId="77777777" w:rsidR="00A664E4" w:rsidRDefault="00000000">
            <w:pPr>
              <w:spacing w:after="80"/>
            </w:pPr>
            <w:r>
              <w:rPr>
                <w:sz w:val="18"/>
                <w:szCs w:val="18"/>
              </w:rPr>
              <w:t>Personel ve aday verileri toplanmadan önce açık rıza formu ve aydınlatma metni sisteme entegre edilmiştir.</w:t>
            </w:r>
          </w:p>
        </w:tc>
      </w:tr>
      <w:tr w:rsidR="00A664E4" w14:paraId="5521E874"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3CF0F141" w14:textId="77777777" w:rsidR="00A664E4" w:rsidRDefault="00000000">
            <w:pPr>
              <w:spacing w:after="80"/>
            </w:pPr>
            <w:r>
              <w:rPr>
                <w:b/>
                <w:bCs/>
                <w:color w:val="1F7070"/>
                <w:sz w:val="18"/>
                <w:szCs w:val="18"/>
              </w:rPr>
              <w:t>Veri Güvenliği (Md. 12)</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264190E" w14:textId="77777777" w:rsidR="00A664E4" w:rsidRDefault="00000000">
            <w:pPr>
              <w:spacing w:after="80"/>
            </w:pPr>
            <w:r>
              <w:rPr>
                <w:sz w:val="18"/>
                <w:szCs w:val="18"/>
              </w:rPr>
              <w:t>Tüm kişisel veriler AES-256 ile şifrelenir; aktarımda TLS 1.3 zorunludur. Yıllık güvenlik denetimi yapılır.</w:t>
            </w:r>
          </w:p>
        </w:tc>
      </w:tr>
      <w:tr w:rsidR="00A664E4" w14:paraId="549E6E5D"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10DF9718" w14:textId="77777777" w:rsidR="00A664E4" w:rsidRDefault="00000000">
            <w:pPr>
              <w:spacing w:after="80"/>
            </w:pPr>
            <w:r>
              <w:rPr>
                <w:b/>
                <w:bCs/>
                <w:color w:val="1F7070"/>
                <w:sz w:val="18"/>
                <w:szCs w:val="18"/>
              </w:rPr>
              <w:t>Veri Minimizasyonu</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CB41BE1" w14:textId="77777777" w:rsidR="00A664E4" w:rsidRDefault="00000000">
            <w:pPr>
              <w:spacing w:after="80"/>
            </w:pPr>
            <w:r>
              <w:rPr>
                <w:sz w:val="18"/>
                <w:szCs w:val="18"/>
              </w:rPr>
              <w:t>Yalnızca iş süreci için zorunlu alanlar toplanır. CV'den fotoğraf, din, etnik köken alanları sistem tarafından kabul edilmez.</w:t>
            </w:r>
          </w:p>
        </w:tc>
      </w:tr>
      <w:tr w:rsidR="00A664E4" w14:paraId="0FD4CDB2"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5CFCC7B7" w14:textId="77777777" w:rsidR="00A664E4" w:rsidRDefault="00000000">
            <w:pPr>
              <w:spacing w:after="80"/>
            </w:pPr>
            <w:r>
              <w:rPr>
                <w:b/>
                <w:bCs/>
                <w:color w:val="1F7070"/>
                <w:sz w:val="18"/>
                <w:szCs w:val="18"/>
              </w:rPr>
              <w:t>Saklama Süresi (Md. 7)</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886A0D4" w14:textId="77777777" w:rsidR="00A664E4" w:rsidRDefault="00000000">
            <w:pPr>
              <w:spacing w:after="80"/>
            </w:pPr>
            <w:r>
              <w:rPr>
                <w:sz w:val="18"/>
                <w:szCs w:val="18"/>
              </w:rPr>
              <w:t>Verilerin saklama süreleri kanuni zorunluluk sınırlarına göre tanımlanmış; süre dolunca otomatik imha devreye girer.</w:t>
            </w:r>
          </w:p>
        </w:tc>
      </w:tr>
      <w:tr w:rsidR="00A664E4" w14:paraId="79F71619"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71E3CF9F" w14:textId="77777777" w:rsidR="00A664E4" w:rsidRDefault="00000000">
            <w:pPr>
              <w:spacing w:after="80"/>
            </w:pPr>
            <w:r>
              <w:rPr>
                <w:b/>
                <w:bCs/>
                <w:color w:val="1F7070"/>
                <w:sz w:val="18"/>
                <w:szCs w:val="18"/>
              </w:rPr>
              <w:t>İlgili Kişi Hakları (Md. 11)</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BA0FC2D" w14:textId="77777777" w:rsidR="00A664E4" w:rsidRDefault="00000000">
            <w:pPr>
              <w:spacing w:after="80"/>
            </w:pPr>
            <w:r>
              <w:rPr>
                <w:sz w:val="18"/>
                <w:szCs w:val="18"/>
              </w:rPr>
              <w:t>Kullanıcılar veri erişim, düzeltme ve silme taleplerini sistem üzerinden iletebilir; 30 gün içinde yanıt verilir.</w:t>
            </w:r>
          </w:p>
        </w:tc>
      </w:tr>
      <w:tr w:rsidR="00A664E4" w14:paraId="73D14A28"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1717AF6D" w14:textId="77777777" w:rsidR="00A664E4" w:rsidRDefault="00000000">
            <w:pPr>
              <w:spacing w:after="80"/>
            </w:pPr>
            <w:r>
              <w:rPr>
                <w:b/>
                <w:bCs/>
                <w:color w:val="1F7070"/>
                <w:sz w:val="18"/>
                <w:szCs w:val="18"/>
              </w:rPr>
              <w:t>VERBİS Kaydı</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2B1A345" w14:textId="77777777" w:rsidR="00A664E4" w:rsidRDefault="00000000">
            <w:pPr>
              <w:spacing w:after="80"/>
            </w:pPr>
            <w:r>
              <w:rPr>
                <w:sz w:val="18"/>
                <w:szCs w:val="18"/>
              </w:rPr>
              <w:t>Veri envanteri oluşturularak Veri Sorumluları Sicil Bilgi Sistemi'ne (VERBİS) kayıt yükümlülüğü yerine getirilir.</w:t>
            </w:r>
          </w:p>
        </w:tc>
      </w:tr>
    </w:tbl>
    <w:p w14:paraId="3F16D44C" w14:textId="77777777" w:rsidR="00A664E4" w:rsidRDefault="00A664E4">
      <w:pPr>
        <w:spacing w:before="100"/>
      </w:pPr>
    </w:p>
    <w:p w14:paraId="69DB4A70" w14:textId="77777777" w:rsidR="00A664E4" w:rsidRDefault="00000000">
      <w:pPr>
        <w:pStyle w:val="Balk1"/>
        <w:pBdr>
          <w:bottom w:val="single" w:sz="8" w:space="1" w:color="1F7070"/>
        </w:pBdr>
      </w:pPr>
      <w:r>
        <w:t>4. Finansal Verilerin Gizliliği</w:t>
      </w:r>
    </w:p>
    <w:p w14:paraId="1CC39AEF" w14:textId="77777777" w:rsidR="00A664E4" w:rsidRDefault="00000000">
      <w:pPr>
        <w:spacing w:before="60" w:after="100"/>
        <w:jc w:val="both"/>
      </w:pPr>
      <w:r>
        <w:t>Muhasebe modülü; gelir-gider kayıtları, fatura verileri ve cari hesap bilgilerini işlemektedir. Bu veriler Vergi Usul Kanunu (VUK) ve Türk Ticaret Kanunu (TTK) kapsamında özel koruma gerektirmekte, ayrıca 3. taraflarla paylaşıma konu olabilecek hassas ticari sırlar içerebilmektedir.</w:t>
      </w:r>
    </w:p>
    <w:p w14:paraId="171B7A0D" w14:textId="77777777" w:rsidR="00A664E4" w:rsidRDefault="00A664E4">
      <w:pPr>
        <w:spacing w:before="80"/>
      </w:pPr>
    </w:p>
    <w:p w14:paraId="1425F32E" w14:textId="77777777" w:rsidR="00A664E4" w:rsidRDefault="00000000">
      <w:pPr>
        <w:pStyle w:val="Balk2"/>
      </w:pPr>
      <w:r>
        <w:t>4.1 Güvenlik Gereksinimleri</w:t>
      </w:r>
    </w:p>
    <w:p w14:paraId="0EEEF6DE" w14:textId="77777777" w:rsidR="00A664E4" w:rsidRDefault="00000000">
      <w:pPr>
        <w:pStyle w:val="ListeParagraf"/>
        <w:numPr>
          <w:ilvl w:val="0"/>
          <w:numId w:val="2"/>
        </w:numPr>
        <w:spacing w:before="40" w:after="60"/>
      </w:pPr>
      <w:r>
        <w:rPr>
          <w:sz w:val="19"/>
          <w:szCs w:val="19"/>
        </w:rPr>
        <w:t xml:space="preserve">Finansal veriler ayrı bir </w:t>
      </w:r>
      <w:proofErr w:type="spellStart"/>
      <w:r>
        <w:rPr>
          <w:sz w:val="19"/>
          <w:szCs w:val="19"/>
        </w:rPr>
        <w:t>veritabanı</w:t>
      </w:r>
      <w:proofErr w:type="spellEnd"/>
      <w:r>
        <w:rPr>
          <w:sz w:val="19"/>
          <w:szCs w:val="19"/>
        </w:rPr>
        <w:t xml:space="preserve"> şemasında saklanır; diğer modüllerden erişim kısıtlanır.</w:t>
      </w:r>
    </w:p>
    <w:p w14:paraId="00815D3F" w14:textId="77777777" w:rsidR="00A664E4" w:rsidRDefault="00000000">
      <w:pPr>
        <w:pStyle w:val="ListeParagraf"/>
        <w:numPr>
          <w:ilvl w:val="0"/>
          <w:numId w:val="2"/>
        </w:numPr>
        <w:spacing w:before="40" w:after="60"/>
      </w:pPr>
      <w:r>
        <w:rPr>
          <w:sz w:val="19"/>
          <w:szCs w:val="19"/>
        </w:rPr>
        <w:t>Muhasebe kayıtlarına erişim yalnızca Muhasebeci ve Admin rollerine tanımlanmıştır.</w:t>
      </w:r>
    </w:p>
    <w:p w14:paraId="7DE2EF02" w14:textId="77777777" w:rsidR="00A664E4" w:rsidRDefault="00000000">
      <w:pPr>
        <w:pStyle w:val="ListeParagraf"/>
        <w:numPr>
          <w:ilvl w:val="0"/>
          <w:numId w:val="2"/>
        </w:numPr>
        <w:spacing w:before="40" w:after="60"/>
      </w:pPr>
      <w:r>
        <w:rPr>
          <w:sz w:val="19"/>
          <w:szCs w:val="19"/>
        </w:rPr>
        <w:t>Tüm finansal işlem kayıtları (</w:t>
      </w:r>
      <w:proofErr w:type="spellStart"/>
      <w:r>
        <w:rPr>
          <w:sz w:val="19"/>
          <w:szCs w:val="19"/>
        </w:rPr>
        <w:t>audit</w:t>
      </w:r>
      <w:proofErr w:type="spellEnd"/>
      <w:r>
        <w:rPr>
          <w:sz w:val="19"/>
          <w:szCs w:val="19"/>
        </w:rPr>
        <w:t xml:space="preserve"> </w:t>
      </w:r>
      <w:proofErr w:type="spellStart"/>
      <w:r>
        <w:rPr>
          <w:sz w:val="19"/>
          <w:szCs w:val="19"/>
        </w:rPr>
        <w:t>trail</w:t>
      </w:r>
      <w:proofErr w:type="spellEnd"/>
      <w:r>
        <w:rPr>
          <w:sz w:val="19"/>
          <w:szCs w:val="19"/>
        </w:rPr>
        <w:t>) değiştirilemez log yapısıyla tutulur.</w:t>
      </w:r>
    </w:p>
    <w:p w14:paraId="05F8179E" w14:textId="77777777" w:rsidR="00A664E4" w:rsidRDefault="00000000">
      <w:pPr>
        <w:pStyle w:val="ListeParagraf"/>
        <w:numPr>
          <w:ilvl w:val="0"/>
          <w:numId w:val="2"/>
        </w:numPr>
        <w:spacing w:before="40" w:after="60"/>
      </w:pPr>
      <w:r>
        <w:rPr>
          <w:sz w:val="19"/>
          <w:szCs w:val="19"/>
        </w:rPr>
        <w:t>OCR ile işlenen fatura görselleri, VUK Md. 253 uyarınca 10 yıl şifreli olarak arşivlenir.</w:t>
      </w:r>
    </w:p>
    <w:p w14:paraId="19AEB908" w14:textId="77777777" w:rsidR="00A664E4" w:rsidRDefault="00000000">
      <w:pPr>
        <w:pStyle w:val="ListeParagraf"/>
        <w:numPr>
          <w:ilvl w:val="0"/>
          <w:numId w:val="2"/>
        </w:numPr>
        <w:spacing w:before="40" w:after="60"/>
      </w:pPr>
      <w:r>
        <w:rPr>
          <w:sz w:val="19"/>
          <w:szCs w:val="19"/>
        </w:rPr>
        <w:t xml:space="preserve">Üçüncü taraf entegrasyonları (muhasebe yazılımı API) </w:t>
      </w:r>
      <w:proofErr w:type="spellStart"/>
      <w:r>
        <w:rPr>
          <w:sz w:val="19"/>
          <w:szCs w:val="19"/>
        </w:rPr>
        <w:t>OAuth</w:t>
      </w:r>
      <w:proofErr w:type="spellEnd"/>
      <w:r>
        <w:rPr>
          <w:sz w:val="19"/>
          <w:szCs w:val="19"/>
        </w:rPr>
        <w:t xml:space="preserve"> 2.0 ile kimlik doğrulaması gerektirir.</w:t>
      </w:r>
    </w:p>
    <w:p w14:paraId="5EFD16F6" w14:textId="77777777" w:rsidR="00A664E4" w:rsidRDefault="00A664E4">
      <w:pPr>
        <w:spacing w:before="60"/>
      </w:pPr>
    </w:p>
    <w:p w14:paraId="2E66B7E8" w14:textId="77777777" w:rsidR="00A664E4" w:rsidRDefault="00000000">
      <w:pPr>
        <w:pStyle w:val="Balk2"/>
      </w:pPr>
      <w:r>
        <w:t>4.2 Erişim Kontrolü</w:t>
      </w:r>
    </w:p>
    <w:p w14:paraId="35A9FF45" w14:textId="77777777" w:rsidR="00A664E4" w:rsidRDefault="00000000">
      <w:pPr>
        <w:pStyle w:val="ListeParagraf"/>
        <w:numPr>
          <w:ilvl w:val="0"/>
          <w:numId w:val="2"/>
        </w:numPr>
        <w:spacing w:before="40" w:after="60"/>
      </w:pPr>
      <w:r>
        <w:rPr>
          <w:sz w:val="19"/>
          <w:szCs w:val="19"/>
        </w:rPr>
        <w:t>Finansal raporlar ve özet gösterge panelleri yalnızca yetkili rollere görünür.</w:t>
      </w:r>
    </w:p>
    <w:p w14:paraId="55B2D88D" w14:textId="77777777" w:rsidR="00A664E4" w:rsidRDefault="00000000">
      <w:pPr>
        <w:pStyle w:val="ListeParagraf"/>
        <w:numPr>
          <w:ilvl w:val="0"/>
          <w:numId w:val="2"/>
        </w:numPr>
        <w:spacing w:before="40" w:after="60"/>
      </w:pPr>
      <w:r>
        <w:rPr>
          <w:sz w:val="19"/>
          <w:szCs w:val="19"/>
        </w:rPr>
        <w:t>Dışa aktarma işlemleri loglanır; hangi kullanıcının hangi veriyi indirdiği kayıt altına alınır.</w:t>
      </w:r>
    </w:p>
    <w:p w14:paraId="492A74EF" w14:textId="77777777" w:rsidR="00A664E4" w:rsidRDefault="00000000">
      <w:pPr>
        <w:pStyle w:val="ListeParagraf"/>
        <w:numPr>
          <w:ilvl w:val="0"/>
          <w:numId w:val="2"/>
        </w:numPr>
        <w:spacing w:before="40" w:after="60"/>
      </w:pPr>
      <w:r>
        <w:rPr>
          <w:sz w:val="19"/>
          <w:szCs w:val="19"/>
        </w:rPr>
        <w:t>Toplu veri dışa aktarma işlemi (raporlama vs. sistem yedeği ayrımı) sadece Admin tarafından gerçekleştirilebilir.</w:t>
      </w:r>
    </w:p>
    <w:p w14:paraId="7CD4DB3F" w14:textId="77777777" w:rsidR="00A664E4" w:rsidRDefault="00A664E4">
      <w:pPr>
        <w:spacing w:before="100"/>
      </w:pPr>
    </w:p>
    <w:p w14:paraId="0CEC0BB5" w14:textId="77777777" w:rsidR="00A664E4" w:rsidRDefault="00000000">
      <w:pPr>
        <w:pStyle w:val="Balk1"/>
        <w:pBdr>
          <w:bottom w:val="single" w:sz="8" w:space="1" w:color="1F7070"/>
        </w:pBdr>
      </w:pPr>
      <w:r>
        <w:t>5. İnsan Onayı Gerektiren AI Kararları</w:t>
      </w:r>
    </w:p>
    <w:p w14:paraId="5689D021" w14:textId="77777777" w:rsidR="00A664E4" w:rsidRDefault="00000000">
      <w:pPr>
        <w:spacing w:before="60" w:after="100"/>
        <w:jc w:val="both"/>
      </w:pPr>
      <w:r>
        <w:t>Sistemdeki tüm AI çıktıları varsayılan olarak 'taslak' statüsünde oluşturulur. Aşağıdaki tablo hangi kararların zorunlu insan onayı gerektirdiğini, hangilerinin bilgi amaçlı sunulduğunu belirtmektedir. Bu ayrım, insan-makine işbirliği (</w:t>
      </w:r>
      <w:proofErr w:type="spellStart"/>
      <w:r>
        <w:t>human</w:t>
      </w:r>
      <w:proofErr w:type="spellEnd"/>
      <w:r>
        <w:t>-in-</w:t>
      </w:r>
      <w:proofErr w:type="spellStart"/>
      <w:r>
        <w:t>the</w:t>
      </w:r>
      <w:proofErr w:type="spellEnd"/>
      <w:r>
        <w:t>-</w:t>
      </w:r>
      <w:proofErr w:type="spellStart"/>
      <w:r>
        <w:t>loop</w:t>
      </w:r>
      <w:proofErr w:type="spellEnd"/>
      <w:r>
        <w:t>) ilkesinin operasyonel yansımasıdır.</w:t>
      </w:r>
    </w:p>
    <w:p w14:paraId="000276BB"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2400"/>
        <w:gridCol w:w="2360"/>
      </w:tblGrid>
      <w:tr w:rsidR="00A664E4" w14:paraId="7FA36B58" w14:textId="77777777">
        <w:tblPrEx>
          <w:tblCellMar>
            <w:top w:w="0" w:type="dxa"/>
            <w:bottom w:w="0" w:type="dxa"/>
          </w:tblCellMar>
        </w:tblPrEx>
        <w:trPr>
          <w:tblHeader/>
        </w:trPr>
        <w:tc>
          <w:tcPr>
            <w:tcW w:w="2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79919742" w14:textId="77777777" w:rsidR="00A664E4" w:rsidRDefault="00000000">
            <w:pPr>
              <w:spacing w:after="80"/>
              <w:jc w:val="center"/>
            </w:pPr>
            <w:r>
              <w:rPr>
                <w:b/>
                <w:bCs/>
                <w:color w:val="FFFFFF"/>
                <w:sz w:val="18"/>
                <w:szCs w:val="18"/>
              </w:rPr>
              <w:lastRenderedPageBreak/>
              <w:t>AI Kararı / Çıktısı</w:t>
            </w:r>
          </w:p>
        </w:tc>
        <w:tc>
          <w:tcPr>
            <w:tcW w:w="24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6164A913" w14:textId="77777777" w:rsidR="00A664E4" w:rsidRDefault="00000000">
            <w:pPr>
              <w:spacing w:after="80"/>
              <w:jc w:val="center"/>
            </w:pPr>
            <w:r>
              <w:rPr>
                <w:b/>
                <w:bCs/>
                <w:color w:val="FFFFFF"/>
                <w:sz w:val="18"/>
                <w:szCs w:val="18"/>
              </w:rPr>
              <w:t>Modül</w:t>
            </w:r>
          </w:p>
        </w:tc>
        <w:tc>
          <w:tcPr>
            <w:tcW w:w="24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6DB72D78" w14:textId="77777777" w:rsidR="00A664E4" w:rsidRDefault="00000000">
            <w:pPr>
              <w:spacing w:after="80"/>
              <w:jc w:val="center"/>
            </w:pPr>
            <w:r>
              <w:rPr>
                <w:b/>
                <w:bCs/>
                <w:color w:val="FFFFFF"/>
                <w:sz w:val="18"/>
                <w:szCs w:val="18"/>
              </w:rPr>
              <w:t>İnsan Onayı Gerekli mi?</w:t>
            </w:r>
          </w:p>
        </w:tc>
        <w:tc>
          <w:tcPr>
            <w:tcW w:w="236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27584031" w14:textId="77777777" w:rsidR="00A664E4" w:rsidRDefault="00000000">
            <w:pPr>
              <w:spacing w:after="80"/>
              <w:jc w:val="center"/>
            </w:pPr>
            <w:r>
              <w:rPr>
                <w:b/>
                <w:bCs/>
                <w:color w:val="FFFFFF"/>
                <w:sz w:val="18"/>
                <w:szCs w:val="18"/>
              </w:rPr>
              <w:t>Onay Sorumlusu</w:t>
            </w:r>
          </w:p>
        </w:tc>
      </w:tr>
      <w:tr w:rsidR="00A664E4" w14:paraId="35A34619"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B59FD1D" w14:textId="77777777" w:rsidR="00A664E4" w:rsidRDefault="00000000">
            <w:pPr>
              <w:spacing w:after="80"/>
            </w:pPr>
            <w:r>
              <w:rPr>
                <w:b/>
                <w:bCs/>
                <w:color w:val="1A3A5C"/>
                <w:sz w:val="18"/>
                <w:szCs w:val="18"/>
              </w:rPr>
              <w:t>Fatura kategori tahmini</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6501BFA" w14:textId="77777777" w:rsidR="00A664E4" w:rsidRDefault="00000000">
            <w:pPr>
              <w:spacing w:after="80"/>
            </w:pPr>
            <w:r>
              <w:rPr>
                <w:sz w:val="18"/>
                <w:szCs w:val="18"/>
              </w:rPr>
              <w:t>Ön Muhasebe</w:t>
            </w:r>
          </w:p>
        </w:tc>
        <w:tc>
          <w:tcPr>
            <w:tcW w:w="240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4A4E0283" w14:textId="77777777" w:rsidR="00A664E4" w:rsidRDefault="00000000">
            <w:pPr>
              <w:spacing w:after="80"/>
              <w:jc w:val="center"/>
            </w:pPr>
            <w:r>
              <w:rPr>
                <w:b/>
                <w:bCs/>
                <w:color w:val="375623"/>
                <w:sz w:val="18"/>
                <w:szCs w:val="18"/>
              </w:rPr>
              <w:t>Evet – Zorunlu</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2DC33A60" w14:textId="77777777" w:rsidR="00A664E4" w:rsidRDefault="00000000">
            <w:pPr>
              <w:spacing w:after="80"/>
            </w:pPr>
            <w:r>
              <w:rPr>
                <w:color w:val="1F7070"/>
                <w:sz w:val="18"/>
                <w:szCs w:val="18"/>
              </w:rPr>
              <w:t>Muhasebeci</w:t>
            </w:r>
          </w:p>
        </w:tc>
      </w:tr>
      <w:tr w:rsidR="00A664E4" w14:paraId="64CC2A2E"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3C50306" w14:textId="77777777" w:rsidR="00A664E4" w:rsidRDefault="00000000">
            <w:pPr>
              <w:spacing w:after="80"/>
            </w:pPr>
            <w:r>
              <w:rPr>
                <w:b/>
                <w:bCs/>
                <w:color w:val="1A3A5C"/>
                <w:sz w:val="18"/>
                <w:szCs w:val="18"/>
              </w:rPr>
              <w:t>OCR ile okunan fatura verisi</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811E422" w14:textId="77777777" w:rsidR="00A664E4" w:rsidRDefault="00000000">
            <w:pPr>
              <w:spacing w:after="80"/>
            </w:pPr>
            <w:r>
              <w:rPr>
                <w:sz w:val="18"/>
                <w:szCs w:val="18"/>
              </w:rPr>
              <w:t>Ön Muhasebe</w:t>
            </w:r>
          </w:p>
        </w:tc>
        <w:tc>
          <w:tcPr>
            <w:tcW w:w="240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7169B5DB" w14:textId="77777777" w:rsidR="00A664E4" w:rsidRDefault="00000000">
            <w:pPr>
              <w:spacing w:after="80"/>
              <w:jc w:val="center"/>
            </w:pPr>
            <w:r>
              <w:rPr>
                <w:b/>
                <w:bCs/>
                <w:color w:val="375623"/>
                <w:sz w:val="18"/>
                <w:szCs w:val="18"/>
              </w:rPr>
              <w:t>Evet – Zorunlu</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F7273AA" w14:textId="77777777" w:rsidR="00A664E4" w:rsidRDefault="00000000">
            <w:pPr>
              <w:spacing w:after="80"/>
            </w:pPr>
            <w:r>
              <w:rPr>
                <w:color w:val="1F7070"/>
                <w:sz w:val="18"/>
                <w:szCs w:val="18"/>
              </w:rPr>
              <w:t>Muhasebeci</w:t>
            </w:r>
          </w:p>
        </w:tc>
      </w:tr>
      <w:tr w:rsidR="00A664E4" w14:paraId="588E248F"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77B166F" w14:textId="77777777" w:rsidR="00A664E4" w:rsidRDefault="00000000">
            <w:pPr>
              <w:spacing w:after="80"/>
            </w:pPr>
            <w:r>
              <w:rPr>
                <w:b/>
                <w:bCs/>
                <w:color w:val="1A3A5C"/>
                <w:sz w:val="18"/>
                <w:szCs w:val="18"/>
              </w:rPr>
              <w:t>CV uygunluk skoru (%)</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18184D22" w14:textId="77777777" w:rsidR="00A664E4" w:rsidRDefault="00000000">
            <w:pPr>
              <w:spacing w:after="80"/>
            </w:pPr>
            <w:r>
              <w:rPr>
                <w:sz w:val="18"/>
                <w:szCs w:val="18"/>
              </w:rPr>
              <w:t>İnsan Kaynakları</w:t>
            </w:r>
          </w:p>
        </w:tc>
        <w:tc>
          <w:tcPr>
            <w:tcW w:w="240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7753DCA7" w14:textId="77777777" w:rsidR="00A664E4" w:rsidRDefault="00000000">
            <w:pPr>
              <w:spacing w:after="80"/>
              <w:jc w:val="center"/>
            </w:pPr>
            <w:r>
              <w:rPr>
                <w:b/>
                <w:bCs/>
                <w:color w:val="375623"/>
                <w:sz w:val="18"/>
                <w:szCs w:val="18"/>
              </w:rPr>
              <w:t>Evet – Zorunlu</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744E18F" w14:textId="77777777" w:rsidR="00A664E4" w:rsidRDefault="00000000">
            <w:pPr>
              <w:spacing w:after="80"/>
            </w:pPr>
            <w:r>
              <w:rPr>
                <w:color w:val="1F7070"/>
                <w:sz w:val="18"/>
                <w:szCs w:val="18"/>
              </w:rPr>
              <w:t>İK Uzmanı</w:t>
            </w:r>
          </w:p>
        </w:tc>
      </w:tr>
      <w:tr w:rsidR="00A664E4" w14:paraId="19058C59"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01D5438" w14:textId="77777777" w:rsidR="00A664E4" w:rsidRDefault="00000000">
            <w:pPr>
              <w:spacing w:after="80"/>
            </w:pPr>
            <w:r>
              <w:rPr>
                <w:b/>
                <w:bCs/>
                <w:color w:val="1A3A5C"/>
                <w:sz w:val="18"/>
                <w:szCs w:val="18"/>
              </w:rPr>
              <w:t>Aday eşleştirme önerisi</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034D31D" w14:textId="77777777" w:rsidR="00A664E4" w:rsidRDefault="00000000">
            <w:pPr>
              <w:spacing w:after="80"/>
            </w:pPr>
            <w:r>
              <w:rPr>
                <w:sz w:val="18"/>
                <w:szCs w:val="18"/>
              </w:rPr>
              <w:t>İnsan Kaynakları</w:t>
            </w:r>
          </w:p>
        </w:tc>
        <w:tc>
          <w:tcPr>
            <w:tcW w:w="240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6593F984" w14:textId="77777777" w:rsidR="00A664E4" w:rsidRDefault="00000000">
            <w:pPr>
              <w:spacing w:after="80"/>
              <w:jc w:val="center"/>
            </w:pPr>
            <w:r>
              <w:rPr>
                <w:b/>
                <w:bCs/>
                <w:color w:val="375623"/>
                <w:sz w:val="18"/>
                <w:szCs w:val="18"/>
              </w:rPr>
              <w:t>Evet – Zorunlu</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8D83210" w14:textId="77777777" w:rsidR="00A664E4" w:rsidRDefault="00000000">
            <w:pPr>
              <w:spacing w:after="80"/>
            </w:pPr>
            <w:r>
              <w:rPr>
                <w:color w:val="1F7070"/>
                <w:sz w:val="18"/>
                <w:szCs w:val="18"/>
              </w:rPr>
              <w:t>İK Uzmanı</w:t>
            </w:r>
          </w:p>
        </w:tc>
      </w:tr>
      <w:tr w:rsidR="00A664E4" w14:paraId="35AC3009"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4E5E19E" w14:textId="77777777" w:rsidR="00A664E4" w:rsidRDefault="00000000">
            <w:pPr>
              <w:spacing w:after="80"/>
            </w:pPr>
            <w:r>
              <w:rPr>
                <w:b/>
                <w:bCs/>
                <w:color w:val="1A3A5C"/>
                <w:sz w:val="18"/>
                <w:szCs w:val="18"/>
              </w:rPr>
              <w:t>Stok tükenme tahmini</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20D0F1E" w14:textId="77777777" w:rsidR="00A664E4" w:rsidRDefault="00000000">
            <w:pPr>
              <w:spacing w:after="80"/>
            </w:pPr>
            <w:r>
              <w:rPr>
                <w:sz w:val="18"/>
                <w:szCs w:val="18"/>
              </w:rPr>
              <w:t>Stok Yönetimi</w:t>
            </w:r>
          </w:p>
        </w:tc>
        <w:tc>
          <w:tcPr>
            <w:tcW w:w="240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4A09A586" w14:textId="77777777" w:rsidR="00A664E4" w:rsidRDefault="00000000">
            <w:pPr>
              <w:spacing w:after="80"/>
              <w:jc w:val="center"/>
            </w:pPr>
            <w:r>
              <w:rPr>
                <w:b/>
                <w:bCs/>
                <w:color w:val="375623"/>
                <w:sz w:val="18"/>
                <w:szCs w:val="18"/>
              </w:rPr>
              <w:t>Evet – Önerilir</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F1FE54A" w14:textId="77777777" w:rsidR="00A664E4" w:rsidRDefault="00000000">
            <w:pPr>
              <w:spacing w:after="80"/>
            </w:pPr>
            <w:r>
              <w:rPr>
                <w:color w:val="1F7070"/>
                <w:sz w:val="18"/>
                <w:szCs w:val="18"/>
              </w:rPr>
              <w:t>Depo Görevlisi</w:t>
            </w:r>
          </w:p>
        </w:tc>
      </w:tr>
      <w:tr w:rsidR="00A664E4" w14:paraId="6CC6A324"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29BB8F54" w14:textId="77777777" w:rsidR="00A664E4" w:rsidRDefault="00000000">
            <w:pPr>
              <w:spacing w:after="80"/>
            </w:pPr>
            <w:r>
              <w:rPr>
                <w:b/>
                <w:bCs/>
                <w:color w:val="1A3A5C"/>
                <w:sz w:val="18"/>
                <w:szCs w:val="18"/>
              </w:rPr>
              <w:t>Proaktif sipariş uyarısı</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1B765CFD" w14:textId="77777777" w:rsidR="00A664E4" w:rsidRDefault="00000000">
            <w:pPr>
              <w:spacing w:after="80"/>
            </w:pPr>
            <w:r>
              <w:rPr>
                <w:sz w:val="18"/>
                <w:szCs w:val="18"/>
              </w:rPr>
              <w:t>Stok Yönetimi</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26DA16BA" w14:textId="77777777" w:rsidR="00A664E4" w:rsidRDefault="00000000">
            <w:pPr>
              <w:spacing w:after="80"/>
              <w:jc w:val="center"/>
            </w:pPr>
            <w:r>
              <w:rPr>
                <w:b/>
                <w:bCs/>
                <w:color w:val="5A5A5A"/>
                <w:sz w:val="18"/>
                <w:szCs w:val="18"/>
              </w:rPr>
              <w:t>Hayır – Bilgi amaçlı</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17A6959F" w14:textId="77777777" w:rsidR="00A664E4" w:rsidRDefault="00000000">
            <w:pPr>
              <w:spacing w:after="80"/>
            </w:pPr>
            <w:r>
              <w:rPr>
                <w:color w:val="1F7070"/>
                <w:sz w:val="18"/>
                <w:szCs w:val="18"/>
              </w:rPr>
              <w:t>Sistem otomatik</w:t>
            </w:r>
          </w:p>
        </w:tc>
      </w:tr>
      <w:tr w:rsidR="00A664E4" w14:paraId="16B75C3F" w14:textId="77777777">
        <w:tblPrEx>
          <w:tblCellMar>
            <w:top w:w="0" w:type="dxa"/>
            <w:bottom w:w="0" w:type="dxa"/>
          </w:tblCellMar>
        </w:tblPrEx>
        <w:tc>
          <w:tcPr>
            <w:tcW w:w="2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1B6D86A1" w14:textId="77777777" w:rsidR="00A664E4" w:rsidRDefault="00000000">
            <w:pPr>
              <w:spacing w:after="80"/>
            </w:pPr>
            <w:r>
              <w:rPr>
                <w:b/>
                <w:bCs/>
                <w:color w:val="1A3A5C"/>
                <w:sz w:val="18"/>
                <w:szCs w:val="18"/>
              </w:rPr>
              <w:t>Gider kategorizasyonu</w:t>
            </w:r>
          </w:p>
        </w:tc>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3D28D5A" w14:textId="77777777" w:rsidR="00A664E4" w:rsidRDefault="00000000">
            <w:pPr>
              <w:spacing w:after="80"/>
            </w:pPr>
            <w:r>
              <w:rPr>
                <w:sz w:val="18"/>
                <w:szCs w:val="18"/>
              </w:rPr>
              <w:t>Ön Muhasebe</w:t>
            </w:r>
          </w:p>
        </w:tc>
        <w:tc>
          <w:tcPr>
            <w:tcW w:w="240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4F859EBF" w14:textId="77777777" w:rsidR="00A664E4" w:rsidRDefault="00000000">
            <w:pPr>
              <w:spacing w:after="80"/>
              <w:jc w:val="center"/>
            </w:pPr>
            <w:r>
              <w:rPr>
                <w:b/>
                <w:bCs/>
                <w:color w:val="375623"/>
                <w:sz w:val="18"/>
                <w:szCs w:val="18"/>
              </w:rPr>
              <w:t>Evet – Zorunlu</w:t>
            </w:r>
          </w:p>
        </w:tc>
        <w:tc>
          <w:tcPr>
            <w:tcW w:w="23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427D230" w14:textId="77777777" w:rsidR="00A664E4" w:rsidRDefault="00000000">
            <w:pPr>
              <w:spacing w:after="80"/>
            </w:pPr>
            <w:r>
              <w:rPr>
                <w:color w:val="1F7070"/>
                <w:sz w:val="18"/>
                <w:szCs w:val="18"/>
              </w:rPr>
              <w:t>Muhasebeci</w:t>
            </w:r>
          </w:p>
        </w:tc>
      </w:tr>
    </w:tbl>
    <w:p w14:paraId="135AAA71"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64E4" w14:paraId="4C1EBBFB" w14:textId="77777777">
        <w:tblPrEx>
          <w:tblCellMar>
            <w:top w:w="0" w:type="dxa"/>
            <w:bottom w:w="0" w:type="dxa"/>
          </w:tblCellMar>
        </w:tblPrEx>
        <w:tc>
          <w:tcPr>
            <w:tcW w:w="9360" w:type="dxa"/>
            <w:tcBorders>
              <w:top w:val="single" w:sz="4" w:space="0" w:color="1F7070"/>
              <w:left w:val="single" w:sz="4" w:space="0" w:color="1F7070"/>
              <w:bottom w:val="single" w:sz="4" w:space="0" w:color="1F7070"/>
              <w:right w:val="single" w:sz="4" w:space="0" w:color="1F7070"/>
            </w:tcBorders>
            <w:shd w:val="clear" w:color="auto" w:fill="E6F4F1"/>
            <w:tcMar>
              <w:top w:w="100" w:type="dxa"/>
              <w:left w:w="150" w:type="dxa"/>
              <w:bottom w:w="100" w:type="dxa"/>
              <w:right w:w="150" w:type="dxa"/>
            </w:tcMar>
            <w:vAlign w:val="center"/>
          </w:tcPr>
          <w:p w14:paraId="18496474" w14:textId="77777777" w:rsidR="00A664E4" w:rsidRDefault="00000000">
            <w:pPr>
              <w:spacing w:after="60"/>
            </w:pPr>
            <w:r>
              <w:rPr>
                <w:b/>
                <w:bCs/>
                <w:color w:val="1F7070"/>
              </w:rPr>
              <w:t>ℹ  Tasarım İlkesi: Varsayılan Taslak Statüsü</w:t>
            </w:r>
          </w:p>
          <w:p w14:paraId="529F80D8" w14:textId="77777777" w:rsidR="00A664E4" w:rsidRDefault="00000000">
            <w:pPr>
              <w:spacing w:after="80"/>
            </w:pPr>
            <w:r>
              <w:rPr>
                <w:sz w:val="19"/>
                <w:szCs w:val="19"/>
              </w:rPr>
              <w:t>Tüm AI çıktıları sisteme 'Taslak' olarak düşer. Kullanıcı onaylamadan veya düzenlemeden kayıt kesinleşmez. Bu sayede hatalı AI çıktılarının doğrudan operasyonel veriyi etkilemesi engellenir.</w:t>
            </w:r>
          </w:p>
        </w:tc>
      </w:tr>
    </w:tbl>
    <w:p w14:paraId="521E5A09" w14:textId="77777777" w:rsidR="00A664E4" w:rsidRDefault="00A664E4">
      <w:pPr>
        <w:spacing w:before="100"/>
      </w:pPr>
    </w:p>
    <w:p w14:paraId="7170DA8A" w14:textId="77777777" w:rsidR="00A664E4" w:rsidRDefault="00000000">
      <w:pPr>
        <w:pStyle w:val="Balk1"/>
        <w:pBdr>
          <w:bottom w:val="single" w:sz="8" w:space="1" w:color="1F7070"/>
        </w:pBdr>
      </w:pPr>
      <w:r>
        <w:t xml:space="preserve">6. Şeffaflık ve </w:t>
      </w:r>
      <w:proofErr w:type="spellStart"/>
      <w:r>
        <w:t>Açıklanabilirlik</w:t>
      </w:r>
      <w:proofErr w:type="spellEnd"/>
      <w:r>
        <w:t xml:space="preserve"> (XAI)</w:t>
      </w:r>
    </w:p>
    <w:p w14:paraId="117CE715" w14:textId="77777777" w:rsidR="00A664E4" w:rsidRDefault="00000000">
      <w:pPr>
        <w:spacing w:before="60" w:after="100"/>
        <w:jc w:val="both"/>
      </w:pPr>
      <w:r>
        <w:t>Kullanıcıların AI kararlarına güvenmesi ve bu kararları anlamlı biçimde denetleyebilmesi için sistemin 'kara kutu' (</w:t>
      </w:r>
      <w:proofErr w:type="spellStart"/>
      <w:r>
        <w:t>black</w:t>
      </w:r>
      <w:proofErr w:type="spellEnd"/>
      <w:r>
        <w:t xml:space="preserve"> </w:t>
      </w:r>
      <w:proofErr w:type="spellStart"/>
      <w:r>
        <w:t>box</w:t>
      </w:r>
      <w:proofErr w:type="spellEnd"/>
      <w:r>
        <w:t>) olmaması esastır. Açıklanabilir Yapay Zeka (</w:t>
      </w:r>
      <w:proofErr w:type="spellStart"/>
      <w:r>
        <w:t>Explainable</w:t>
      </w:r>
      <w:proofErr w:type="spellEnd"/>
      <w:r>
        <w:t xml:space="preserve"> AI – XAI) ilkesi kapsamında aşağıdaki şeffaflık mekanizmaları uygulanmaktadır.</w:t>
      </w:r>
    </w:p>
    <w:p w14:paraId="7FB9C959" w14:textId="77777777" w:rsidR="00A664E4" w:rsidRDefault="00A664E4">
      <w:pPr>
        <w:spacing w:before="80"/>
      </w:pPr>
    </w:p>
    <w:p w14:paraId="156E486E" w14:textId="77777777" w:rsidR="00A664E4" w:rsidRDefault="00000000">
      <w:pPr>
        <w:pStyle w:val="Balk2"/>
      </w:pPr>
      <w:r>
        <w:t>6.1 Kullanıcıya Yönelik Şeffaflık</w:t>
      </w:r>
    </w:p>
    <w:p w14:paraId="42DD696B" w14:textId="77777777" w:rsidR="00A664E4" w:rsidRDefault="00000000">
      <w:pPr>
        <w:pStyle w:val="ListeParagraf"/>
        <w:numPr>
          <w:ilvl w:val="0"/>
          <w:numId w:val="2"/>
        </w:numPr>
        <w:spacing w:before="40" w:after="60"/>
      </w:pPr>
      <w:r>
        <w:rPr>
          <w:sz w:val="19"/>
          <w:szCs w:val="19"/>
        </w:rPr>
        <w:t>Her AI çıktısı, kararı etkileyen temel faktörleri gösteren bir açıklama etiketi ile sunulur.</w:t>
      </w:r>
    </w:p>
    <w:p w14:paraId="43221652" w14:textId="77777777" w:rsidR="00A664E4" w:rsidRDefault="00000000">
      <w:pPr>
        <w:pStyle w:val="ListeParagraf"/>
        <w:numPr>
          <w:ilvl w:val="0"/>
          <w:numId w:val="2"/>
        </w:numPr>
        <w:spacing w:before="40" w:after="60"/>
      </w:pPr>
      <w:r>
        <w:rPr>
          <w:sz w:val="19"/>
          <w:szCs w:val="19"/>
        </w:rPr>
        <w:t>CV analizinde: 'Bu skor, aday 5 yıl Python deneyimine sahip olduğu ve ilanda Python zorunlu olduğu için yüksektir.' gibi gerekçeler gösterilir.</w:t>
      </w:r>
    </w:p>
    <w:p w14:paraId="0DBF2993" w14:textId="77777777" w:rsidR="00A664E4" w:rsidRDefault="00000000">
      <w:pPr>
        <w:pStyle w:val="ListeParagraf"/>
        <w:numPr>
          <w:ilvl w:val="0"/>
          <w:numId w:val="2"/>
        </w:numPr>
        <w:spacing w:before="40" w:after="60"/>
      </w:pPr>
      <w:r>
        <w:rPr>
          <w:sz w:val="19"/>
          <w:szCs w:val="19"/>
        </w:rPr>
        <w:t>OCR çıktısında: Düşük güven skorlu alanlar sarı renkle vurgulanarak kullanıcının dikkatine sunulur.</w:t>
      </w:r>
    </w:p>
    <w:p w14:paraId="79AAA173" w14:textId="77777777" w:rsidR="00A664E4" w:rsidRDefault="00000000">
      <w:pPr>
        <w:pStyle w:val="ListeParagraf"/>
        <w:numPr>
          <w:ilvl w:val="0"/>
          <w:numId w:val="2"/>
        </w:numPr>
        <w:spacing w:before="40" w:after="60"/>
      </w:pPr>
      <w:r>
        <w:rPr>
          <w:sz w:val="19"/>
          <w:szCs w:val="19"/>
        </w:rPr>
        <w:t>Stok tahmininde: Tahminin dayandığı veri aralığı (</w:t>
      </w:r>
      <w:proofErr w:type="spellStart"/>
      <w:r>
        <w:rPr>
          <w:sz w:val="19"/>
          <w:szCs w:val="19"/>
        </w:rPr>
        <w:t>örn</w:t>
      </w:r>
      <w:proofErr w:type="spellEnd"/>
      <w:r>
        <w:rPr>
          <w:sz w:val="19"/>
          <w:szCs w:val="19"/>
        </w:rPr>
        <w:t>. 'son 90 günlük tüketim') ve güven aralığı görünür kılınır.</w:t>
      </w:r>
    </w:p>
    <w:p w14:paraId="2200A9B2" w14:textId="77777777" w:rsidR="00A664E4" w:rsidRDefault="00A664E4">
      <w:pPr>
        <w:spacing w:before="60"/>
      </w:pPr>
    </w:p>
    <w:p w14:paraId="0E7AE151" w14:textId="77777777" w:rsidR="00A664E4" w:rsidRDefault="00000000">
      <w:pPr>
        <w:pStyle w:val="Balk2"/>
      </w:pPr>
      <w:r>
        <w:t>6.2 Sistem Düzeyinde Şeffaflık</w:t>
      </w:r>
    </w:p>
    <w:p w14:paraId="1B229720" w14:textId="77777777" w:rsidR="00A664E4" w:rsidRDefault="00000000">
      <w:pPr>
        <w:pStyle w:val="ListeParagraf"/>
        <w:numPr>
          <w:ilvl w:val="0"/>
          <w:numId w:val="2"/>
        </w:numPr>
        <w:spacing w:before="40" w:after="60"/>
      </w:pPr>
      <w:r>
        <w:rPr>
          <w:sz w:val="19"/>
          <w:szCs w:val="19"/>
        </w:rPr>
        <w:t>Sistemde AI kullanılan her modülde kullanıcıya 'Bu öneride yapay zeka kullanılmıştır' bildirimi zorunludur.</w:t>
      </w:r>
    </w:p>
    <w:p w14:paraId="190C7108" w14:textId="77777777" w:rsidR="00A664E4" w:rsidRDefault="00000000">
      <w:pPr>
        <w:pStyle w:val="ListeParagraf"/>
        <w:numPr>
          <w:ilvl w:val="0"/>
          <w:numId w:val="2"/>
        </w:numPr>
        <w:spacing w:before="40" w:after="60"/>
      </w:pPr>
      <w:r>
        <w:rPr>
          <w:sz w:val="19"/>
          <w:szCs w:val="19"/>
        </w:rPr>
        <w:t>AI model versiyonları, eğitim veri kaynakları ve güncelleme tarihleri iç belgelerde kayıt altında tutulur.</w:t>
      </w:r>
    </w:p>
    <w:p w14:paraId="0D59018C" w14:textId="77777777" w:rsidR="00A664E4" w:rsidRDefault="00000000">
      <w:pPr>
        <w:pStyle w:val="ListeParagraf"/>
        <w:numPr>
          <w:ilvl w:val="0"/>
          <w:numId w:val="2"/>
        </w:numPr>
        <w:spacing w:before="40" w:after="60"/>
      </w:pPr>
      <w:r>
        <w:rPr>
          <w:sz w:val="19"/>
          <w:szCs w:val="19"/>
        </w:rPr>
        <w:t>Yanlı veya hatalı AI çıktısı raporlama mekanizması (geri bildirim butonu) her AI ekranında bulunur.</w:t>
      </w:r>
    </w:p>
    <w:p w14:paraId="2A9D0FD5" w14:textId="77777777" w:rsidR="00A664E4" w:rsidRDefault="00000000">
      <w:pPr>
        <w:pStyle w:val="ListeParagraf"/>
        <w:numPr>
          <w:ilvl w:val="0"/>
          <w:numId w:val="2"/>
        </w:numPr>
        <w:spacing w:before="40" w:after="60"/>
      </w:pPr>
      <w:r>
        <w:rPr>
          <w:sz w:val="19"/>
          <w:szCs w:val="19"/>
        </w:rPr>
        <w:t>Yıllık etik denetim raporu hazırlanır; AI sistem performansı ve yanlılık metrikleri değerlendirilir.</w:t>
      </w:r>
    </w:p>
    <w:p w14:paraId="66752C27" w14:textId="77777777" w:rsidR="00A664E4" w:rsidRDefault="00A664E4">
      <w:pPr>
        <w:spacing w:before="100"/>
      </w:pPr>
    </w:p>
    <w:p w14:paraId="382BC2D6" w14:textId="77777777" w:rsidR="00A664E4" w:rsidRDefault="00000000">
      <w:pPr>
        <w:pStyle w:val="Balk1"/>
        <w:pBdr>
          <w:bottom w:val="single" w:sz="8" w:space="1" w:color="1F7070"/>
        </w:pBdr>
      </w:pPr>
      <w:r>
        <w:t>7. Veri Saklama ve Yetkilendirme Matrisi</w:t>
      </w:r>
    </w:p>
    <w:p w14:paraId="01DE7073" w14:textId="77777777" w:rsidR="00A664E4" w:rsidRDefault="00000000">
      <w:pPr>
        <w:pStyle w:val="Balk2"/>
      </w:pPr>
      <w:r>
        <w:lastRenderedPageBreak/>
        <w:t>7.1 Veri Saklama Süreleri</w:t>
      </w:r>
    </w:p>
    <w:p w14:paraId="4D8CA40C" w14:textId="77777777" w:rsidR="00A664E4" w:rsidRDefault="00000000">
      <w:pPr>
        <w:spacing w:before="60" w:after="100"/>
        <w:jc w:val="both"/>
      </w:pPr>
      <w:r>
        <w:t>Aşağıdaki tablo, sistem üzerinde işlenen veri kategorilerinin yasal saklama sürelerini, dayanaklarını ve imha yöntemlerini göstermektedir. Saklama süresi dolan veriler otomatik imha kuyruğuna alınır; imha işlemi denetim kaydıyla belgelenir.</w:t>
      </w:r>
    </w:p>
    <w:p w14:paraId="277E4A03"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160"/>
        <w:gridCol w:w="2600"/>
      </w:tblGrid>
      <w:tr w:rsidR="00A664E4" w14:paraId="40CAB5C3" w14:textId="77777777">
        <w:tblPrEx>
          <w:tblCellMar>
            <w:top w:w="0" w:type="dxa"/>
            <w:bottom w:w="0" w:type="dxa"/>
          </w:tblCellMar>
        </w:tblPrEx>
        <w:trPr>
          <w:tblHeader/>
        </w:trPr>
        <w:tc>
          <w:tcPr>
            <w:tcW w:w="24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2EA23EA" w14:textId="77777777" w:rsidR="00A664E4" w:rsidRDefault="00000000">
            <w:pPr>
              <w:spacing w:after="80"/>
              <w:jc w:val="center"/>
            </w:pPr>
            <w:r>
              <w:rPr>
                <w:b/>
                <w:bCs/>
                <w:color w:val="FFFFFF"/>
                <w:sz w:val="18"/>
                <w:szCs w:val="18"/>
              </w:rPr>
              <w:t>Veri Kategorisi</w:t>
            </w:r>
          </w:p>
        </w:tc>
        <w:tc>
          <w:tcPr>
            <w:tcW w:w="2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5B70A524" w14:textId="77777777" w:rsidR="00A664E4" w:rsidRDefault="00000000">
            <w:pPr>
              <w:spacing w:after="80"/>
              <w:jc w:val="center"/>
            </w:pPr>
            <w:r>
              <w:rPr>
                <w:b/>
                <w:bCs/>
                <w:color w:val="FFFFFF"/>
                <w:sz w:val="18"/>
                <w:szCs w:val="18"/>
              </w:rPr>
              <w:t>Saklama Süresi</w:t>
            </w:r>
          </w:p>
        </w:tc>
        <w:tc>
          <w:tcPr>
            <w:tcW w:w="216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0B7C4DD1" w14:textId="77777777" w:rsidR="00A664E4" w:rsidRDefault="00000000">
            <w:pPr>
              <w:spacing w:after="80"/>
              <w:jc w:val="center"/>
            </w:pPr>
            <w:r>
              <w:rPr>
                <w:b/>
                <w:bCs/>
                <w:color w:val="FFFFFF"/>
                <w:sz w:val="18"/>
                <w:szCs w:val="18"/>
              </w:rPr>
              <w:t>Yasal Dayanak</w:t>
            </w:r>
          </w:p>
        </w:tc>
        <w:tc>
          <w:tcPr>
            <w:tcW w:w="26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AC20871" w14:textId="77777777" w:rsidR="00A664E4" w:rsidRDefault="00000000">
            <w:pPr>
              <w:spacing w:after="80"/>
              <w:jc w:val="center"/>
            </w:pPr>
            <w:r>
              <w:rPr>
                <w:b/>
                <w:bCs/>
                <w:color w:val="FFFFFF"/>
                <w:sz w:val="18"/>
                <w:szCs w:val="18"/>
              </w:rPr>
              <w:t>İmha Yöntemi</w:t>
            </w:r>
          </w:p>
        </w:tc>
      </w:tr>
      <w:tr w:rsidR="00A664E4" w14:paraId="33D82501"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BABC418" w14:textId="77777777" w:rsidR="00A664E4" w:rsidRDefault="00000000">
            <w:pPr>
              <w:spacing w:after="80"/>
            </w:pPr>
            <w:r>
              <w:rPr>
                <w:b/>
                <w:bCs/>
                <w:color w:val="1A3A5C"/>
                <w:sz w:val="18"/>
                <w:szCs w:val="18"/>
              </w:rPr>
              <w:t>Muhasebe / finansal kayıtlar</w:t>
            </w:r>
          </w:p>
        </w:tc>
        <w:tc>
          <w:tcPr>
            <w:tcW w:w="2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478EA6C8" w14:textId="77777777" w:rsidR="00A664E4" w:rsidRDefault="00000000">
            <w:pPr>
              <w:spacing w:after="80"/>
              <w:jc w:val="center"/>
            </w:pPr>
            <w:r>
              <w:rPr>
                <w:b/>
                <w:bCs/>
                <w:color w:val="1F7070"/>
                <w:sz w:val="18"/>
                <w:szCs w:val="18"/>
              </w:rPr>
              <w:t>10 yıl</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6A12D3C" w14:textId="77777777" w:rsidR="00A664E4" w:rsidRDefault="00000000">
            <w:pPr>
              <w:spacing w:after="80"/>
            </w:pPr>
            <w:r>
              <w:rPr>
                <w:i/>
                <w:iCs/>
                <w:sz w:val="18"/>
                <w:szCs w:val="18"/>
              </w:rPr>
              <w:t>VUK Md. 253</w:t>
            </w:r>
          </w:p>
        </w:tc>
        <w:tc>
          <w:tcPr>
            <w:tcW w:w="26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05123D3" w14:textId="77777777" w:rsidR="00A664E4" w:rsidRDefault="00000000">
            <w:pPr>
              <w:spacing w:after="80"/>
            </w:pPr>
            <w:r>
              <w:rPr>
                <w:sz w:val="18"/>
                <w:szCs w:val="18"/>
              </w:rPr>
              <w:t>Güvenli silme + denetim kaydı</w:t>
            </w:r>
          </w:p>
        </w:tc>
      </w:tr>
      <w:tr w:rsidR="00A664E4" w14:paraId="4D17DDD3"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610588E" w14:textId="77777777" w:rsidR="00A664E4" w:rsidRDefault="00000000">
            <w:pPr>
              <w:spacing w:after="80"/>
            </w:pPr>
            <w:r>
              <w:rPr>
                <w:b/>
                <w:bCs/>
                <w:color w:val="1A3A5C"/>
                <w:sz w:val="18"/>
                <w:szCs w:val="18"/>
              </w:rPr>
              <w:t>Personel özlük bilgileri</w:t>
            </w:r>
          </w:p>
        </w:tc>
        <w:tc>
          <w:tcPr>
            <w:tcW w:w="2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3C21F41C" w14:textId="77777777" w:rsidR="00A664E4" w:rsidRDefault="00000000">
            <w:pPr>
              <w:spacing w:after="80"/>
              <w:jc w:val="center"/>
            </w:pPr>
            <w:r>
              <w:rPr>
                <w:b/>
                <w:bCs/>
                <w:color w:val="1F7070"/>
                <w:sz w:val="18"/>
                <w:szCs w:val="18"/>
              </w:rPr>
              <w:t>İşten ayrılma + 10 yıl</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D9EBCAC" w14:textId="77777777" w:rsidR="00A664E4" w:rsidRDefault="00000000">
            <w:pPr>
              <w:spacing w:after="80"/>
            </w:pPr>
            <w:r>
              <w:rPr>
                <w:i/>
                <w:iCs/>
                <w:sz w:val="18"/>
                <w:szCs w:val="18"/>
              </w:rPr>
              <w:t>İş K. / KVKK</w:t>
            </w:r>
          </w:p>
        </w:tc>
        <w:tc>
          <w:tcPr>
            <w:tcW w:w="26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DB8FEE8" w14:textId="77777777" w:rsidR="00A664E4" w:rsidRDefault="00000000">
            <w:pPr>
              <w:spacing w:after="80"/>
            </w:pPr>
            <w:r>
              <w:rPr>
                <w:sz w:val="18"/>
                <w:szCs w:val="18"/>
              </w:rPr>
              <w:t>Şifreli silme, belge imha</w:t>
            </w:r>
          </w:p>
        </w:tc>
      </w:tr>
      <w:tr w:rsidR="00A664E4" w14:paraId="7284F58F"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27A5D5CC" w14:textId="77777777" w:rsidR="00A664E4" w:rsidRDefault="00000000">
            <w:pPr>
              <w:spacing w:after="80"/>
            </w:pPr>
            <w:r>
              <w:rPr>
                <w:b/>
                <w:bCs/>
                <w:color w:val="1A3A5C"/>
                <w:sz w:val="18"/>
                <w:szCs w:val="18"/>
              </w:rPr>
              <w:t>CV ve işe alım verileri</w:t>
            </w:r>
          </w:p>
        </w:tc>
        <w:tc>
          <w:tcPr>
            <w:tcW w:w="2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2007CD66" w14:textId="77777777" w:rsidR="00A664E4" w:rsidRDefault="00000000">
            <w:pPr>
              <w:spacing w:after="80"/>
              <w:jc w:val="center"/>
            </w:pPr>
            <w:r>
              <w:rPr>
                <w:b/>
                <w:bCs/>
                <w:color w:val="1F7070"/>
                <w:sz w:val="18"/>
                <w:szCs w:val="18"/>
              </w:rPr>
              <w:t>2 yıl</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65F972C" w14:textId="77777777" w:rsidR="00A664E4" w:rsidRDefault="00000000">
            <w:pPr>
              <w:spacing w:after="80"/>
            </w:pPr>
            <w:r>
              <w:rPr>
                <w:i/>
                <w:iCs/>
                <w:sz w:val="18"/>
                <w:szCs w:val="18"/>
              </w:rPr>
              <w:t>KVKK Md. 7</w:t>
            </w:r>
          </w:p>
        </w:tc>
        <w:tc>
          <w:tcPr>
            <w:tcW w:w="26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C375A02" w14:textId="77777777" w:rsidR="00A664E4" w:rsidRDefault="00000000">
            <w:pPr>
              <w:spacing w:after="80"/>
            </w:pPr>
            <w:r>
              <w:rPr>
                <w:sz w:val="18"/>
                <w:szCs w:val="18"/>
              </w:rPr>
              <w:t>Otomatik anonim hale getirme</w:t>
            </w:r>
          </w:p>
        </w:tc>
      </w:tr>
      <w:tr w:rsidR="00A664E4" w14:paraId="665F5CBD"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1CD7272" w14:textId="77777777" w:rsidR="00A664E4" w:rsidRDefault="00000000">
            <w:pPr>
              <w:spacing w:after="80"/>
            </w:pPr>
            <w:r>
              <w:rPr>
                <w:b/>
                <w:bCs/>
                <w:color w:val="1A3A5C"/>
                <w:sz w:val="18"/>
                <w:szCs w:val="18"/>
              </w:rPr>
              <w:t>Stok hareket kayıtları</w:t>
            </w:r>
          </w:p>
        </w:tc>
        <w:tc>
          <w:tcPr>
            <w:tcW w:w="2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71AC7739" w14:textId="77777777" w:rsidR="00A664E4" w:rsidRDefault="00000000">
            <w:pPr>
              <w:spacing w:after="80"/>
              <w:jc w:val="center"/>
            </w:pPr>
            <w:r>
              <w:rPr>
                <w:b/>
                <w:bCs/>
                <w:color w:val="1F7070"/>
                <w:sz w:val="18"/>
                <w:szCs w:val="18"/>
              </w:rPr>
              <w:t>5 yıl</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066B0A2" w14:textId="77777777" w:rsidR="00A664E4" w:rsidRDefault="00000000">
            <w:pPr>
              <w:spacing w:after="80"/>
            </w:pPr>
            <w:r>
              <w:rPr>
                <w:i/>
                <w:iCs/>
                <w:sz w:val="18"/>
                <w:szCs w:val="18"/>
              </w:rPr>
              <w:t>TTK Md. 82</w:t>
            </w:r>
          </w:p>
        </w:tc>
        <w:tc>
          <w:tcPr>
            <w:tcW w:w="26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E92F21E" w14:textId="77777777" w:rsidR="00A664E4" w:rsidRDefault="00000000">
            <w:pPr>
              <w:spacing w:after="80"/>
            </w:pPr>
            <w:r>
              <w:rPr>
                <w:sz w:val="18"/>
                <w:szCs w:val="18"/>
              </w:rPr>
              <w:t>Güvenli silme + arşiv</w:t>
            </w:r>
          </w:p>
        </w:tc>
      </w:tr>
      <w:tr w:rsidR="00A664E4" w14:paraId="0D43D85E"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3759FD7" w14:textId="77777777" w:rsidR="00A664E4" w:rsidRDefault="00000000">
            <w:pPr>
              <w:spacing w:after="80"/>
            </w:pPr>
            <w:r>
              <w:rPr>
                <w:b/>
                <w:bCs/>
                <w:color w:val="1A3A5C"/>
                <w:sz w:val="18"/>
                <w:szCs w:val="18"/>
              </w:rPr>
              <w:t>Sistem erişim logları</w:t>
            </w:r>
          </w:p>
        </w:tc>
        <w:tc>
          <w:tcPr>
            <w:tcW w:w="2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0281EB81" w14:textId="77777777" w:rsidR="00A664E4" w:rsidRDefault="00000000">
            <w:pPr>
              <w:spacing w:after="80"/>
              <w:jc w:val="center"/>
            </w:pPr>
            <w:r>
              <w:rPr>
                <w:b/>
                <w:bCs/>
                <w:color w:val="1F7070"/>
                <w:sz w:val="18"/>
                <w:szCs w:val="18"/>
              </w:rPr>
              <w:t>2 yıl</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D3452A9" w14:textId="77777777" w:rsidR="00A664E4" w:rsidRDefault="00000000">
            <w:pPr>
              <w:spacing w:after="80"/>
            </w:pPr>
            <w:r>
              <w:rPr>
                <w:i/>
                <w:iCs/>
                <w:sz w:val="18"/>
                <w:szCs w:val="18"/>
              </w:rPr>
              <w:t>KVKK / BDDK rehberi</w:t>
            </w:r>
          </w:p>
        </w:tc>
        <w:tc>
          <w:tcPr>
            <w:tcW w:w="26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B53E9F9" w14:textId="77777777" w:rsidR="00A664E4" w:rsidRDefault="00000000">
            <w:pPr>
              <w:spacing w:after="80"/>
            </w:pPr>
            <w:r>
              <w:rPr>
                <w:sz w:val="18"/>
                <w:szCs w:val="18"/>
              </w:rPr>
              <w:t>Otomatik log rotasyonu</w:t>
            </w:r>
          </w:p>
        </w:tc>
      </w:tr>
      <w:tr w:rsidR="00A664E4" w14:paraId="37E921D3" w14:textId="77777777">
        <w:tblPrEx>
          <w:tblCellMar>
            <w:top w:w="0" w:type="dxa"/>
            <w:bottom w:w="0" w:type="dxa"/>
          </w:tblCellMar>
        </w:tblPrEx>
        <w:tc>
          <w:tcPr>
            <w:tcW w:w="24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ED038A1" w14:textId="77777777" w:rsidR="00A664E4" w:rsidRDefault="00000000">
            <w:pPr>
              <w:spacing w:after="80"/>
            </w:pPr>
            <w:r>
              <w:rPr>
                <w:b/>
                <w:bCs/>
                <w:color w:val="1A3A5C"/>
                <w:sz w:val="18"/>
                <w:szCs w:val="18"/>
              </w:rPr>
              <w:t>OCR fatura görselleri</w:t>
            </w:r>
          </w:p>
        </w:tc>
        <w:tc>
          <w:tcPr>
            <w:tcW w:w="2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15197852" w14:textId="77777777" w:rsidR="00A664E4" w:rsidRDefault="00000000">
            <w:pPr>
              <w:spacing w:after="80"/>
              <w:jc w:val="center"/>
            </w:pPr>
            <w:r>
              <w:rPr>
                <w:b/>
                <w:bCs/>
                <w:color w:val="1F7070"/>
                <w:sz w:val="18"/>
                <w:szCs w:val="18"/>
              </w:rPr>
              <w:t>10 yıl</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D2990C6" w14:textId="77777777" w:rsidR="00A664E4" w:rsidRDefault="00000000">
            <w:pPr>
              <w:spacing w:after="80"/>
            </w:pPr>
            <w:r>
              <w:rPr>
                <w:i/>
                <w:iCs/>
                <w:sz w:val="18"/>
                <w:szCs w:val="18"/>
              </w:rPr>
              <w:t>VUK Md. 253</w:t>
            </w:r>
          </w:p>
        </w:tc>
        <w:tc>
          <w:tcPr>
            <w:tcW w:w="26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EA3AB23" w14:textId="77777777" w:rsidR="00A664E4" w:rsidRDefault="00000000">
            <w:pPr>
              <w:spacing w:after="80"/>
            </w:pPr>
            <w:r>
              <w:rPr>
                <w:sz w:val="18"/>
                <w:szCs w:val="18"/>
              </w:rPr>
              <w:t>Şifreli depolama + silme</w:t>
            </w:r>
          </w:p>
        </w:tc>
      </w:tr>
    </w:tbl>
    <w:p w14:paraId="05C379C4" w14:textId="77777777" w:rsidR="00A664E4" w:rsidRDefault="00A664E4">
      <w:pPr>
        <w:spacing w:before="100"/>
      </w:pPr>
    </w:p>
    <w:p w14:paraId="37230D13" w14:textId="77777777" w:rsidR="00A664E4" w:rsidRDefault="00000000">
      <w:pPr>
        <w:pStyle w:val="Balk2"/>
      </w:pPr>
      <w:r>
        <w:t>7.2 Rol Bazlı Erişim Yetki Matrisi (RBAC)</w:t>
      </w:r>
    </w:p>
    <w:p w14:paraId="56B96692" w14:textId="77777777" w:rsidR="00A664E4" w:rsidRDefault="00000000">
      <w:pPr>
        <w:spacing w:before="60" w:after="100"/>
        <w:jc w:val="both"/>
      </w:pPr>
      <w:r>
        <w:t>Sistem, Rol Tabanlı Erişim Kontrolü (Role-</w:t>
      </w:r>
      <w:proofErr w:type="spellStart"/>
      <w:r>
        <w:t>Based</w:t>
      </w:r>
      <w:proofErr w:type="spellEnd"/>
      <w:r>
        <w:t xml:space="preserve"> Access Control – RBAC) modelini uygulamaktadır. Her kullanıcı yalnızca kendi rolüne tanımlı modüllere ve veri kategorilerine erişebilir. (✓: Erişim yetkisi var, –: Erişim yetkisi yok)</w:t>
      </w:r>
    </w:p>
    <w:p w14:paraId="21A0D29F"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40"/>
        <w:gridCol w:w="1840"/>
        <w:gridCol w:w="1840"/>
        <w:gridCol w:w="1840"/>
      </w:tblGrid>
      <w:tr w:rsidR="00A664E4" w14:paraId="412C0A4C" w14:textId="77777777">
        <w:tblPrEx>
          <w:tblCellMar>
            <w:top w:w="0" w:type="dxa"/>
            <w:bottom w:w="0" w:type="dxa"/>
          </w:tblCellMar>
        </w:tblPrEx>
        <w:trPr>
          <w:tblHeader/>
        </w:trPr>
        <w:tc>
          <w:tcPr>
            <w:tcW w:w="20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1BCE099" w14:textId="77777777" w:rsidR="00A664E4" w:rsidRDefault="00000000">
            <w:pPr>
              <w:spacing w:after="80"/>
              <w:jc w:val="center"/>
            </w:pPr>
            <w:r>
              <w:rPr>
                <w:b/>
                <w:bCs/>
                <w:color w:val="FFFFFF"/>
                <w:sz w:val="18"/>
                <w:szCs w:val="18"/>
              </w:rPr>
              <w:t>Veri / İşlem</w:t>
            </w:r>
          </w:p>
        </w:tc>
        <w:tc>
          <w:tcPr>
            <w:tcW w:w="184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6012852" w14:textId="77777777" w:rsidR="00A664E4" w:rsidRDefault="00000000">
            <w:pPr>
              <w:spacing w:after="80"/>
              <w:jc w:val="center"/>
            </w:pPr>
            <w:r>
              <w:rPr>
                <w:b/>
                <w:bCs/>
                <w:color w:val="FFFFFF"/>
                <w:sz w:val="18"/>
                <w:szCs w:val="18"/>
              </w:rPr>
              <w:t>Admin</w:t>
            </w:r>
          </w:p>
        </w:tc>
        <w:tc>
          <w:tcPr>
            <w:tcW w:w="184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6574AA5A" w14:textId="77777777" w:rsidR="00A664E4" w:rsidRDefault="00000000">
            <w:pPr>
              <w:spacing w:after="80"/>
              <w:jc w:val="center"/>
            </w:pPr>
            <w:r>
              <w:rPr>
                <w:b/>
                <w:bCs/>
                <w:color w:val="FFFFFF"/>
                <w:sz w:val="18"/>
                <w:szCs w:val="18"/>
              </w:rPr>
              <w:t>Muhasebeci</w:t>
            </w:r>
          </w:p>
        </w:tc>
        <w:tc>
          <w:tcPr>
            <w:tcW w:w="184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47B8335C" w14:textId="77777777" w:rsidR="00A664E4" w:rsidRDefault="00000000">
            <w:pPr>
              <w:spacing w:after="80"/>
              <w:jc w:val="center"/>
            </w:pPr>
            <w:r>
              <w:rPr>
                <w:b/>
                <w:bCs/>
                <w:color w:val="FFFFFF"/>
                <w:sz w:val="18"/>
                <w:szCs w:val="18"/>
              </w:rPr>
              <w:t>İK Uzmanı</w:t>
            </w:r>
          </w:p>
        </w:tc>
        <w:tc>
          <w:tcPr>
            <w:tcW w:w="184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00972326" w14:textId="77777777" w:rsidR="00A664E4" w:rsidRDefault="00000000">
            <w:pPr>
              <w:spacing w:after="80"/>
              <w:jc w:val="center"/>
            </w:pPr>
            <w:r>
              <w:rPr>
                <w:b/>
                <w:bCs/>
                <w:color w:val="FFFFFF"/>
                <w:sz w:val="18"/>
                <w:szCs w:val="18"/>
              </w:rPr>
              <w:t>Depo Görevlisi</w:t>
            </w:r>
          </w:p>
        </w:tc>
      </w:tr>
      <w:tr w:rsidR="00A664E4" w14:paraId="0430DDAB"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193E6DE" w14:textId="77777777" w:rsidR="00A664E4" w:rsidRDefault="00000000">
            <w:pPr>
              <w:spacing w:after="80"/>
            </w:pPr>
            <w:r>
              <w:rPr>
                <w:b/>
                <w:bCs/>
                <w:color w:val="1A3A5C"/>
                <w:sz w:val="18"/>
                <w:szCs w:val="18"/>
              </w:rPr>
              <w:t>Personel özlük verisi</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320CAF1C"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2BA6A48F"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3303BE31"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31A43924" w14:textId="77777777" w:rsidR="00A664E4" w:rsidRDefault="00000000">
            <w:pPr>
              <w:spacing w:after="80"/>
              <w:jc w:val="center"/>
            </w:pPr>
            <w:r>
              <w:rPr>
                <w:color w:val="5A5A5A"/>
                <w:sz w:val="19"/>
                <w:szCs w:val="19"/>
              </w:rPr>
              <w:t>–</w:t>
            </w:r>
          </w:p>
        </w:tc>
      </w:tr>
      <w:tr w:rsidR="00A664E4" w14:paraId="0CCDDC53"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1B49673" w14:textId="77777777" w:rsidR="00A664E4" w:rsidRDefault="00000000">
            <w:pPr>
              <w:spacing w:after="80"/>
            </w:pPr>
            <w:r>
              <w:rPr>
                <w:b/>
                <w:bCs/>
                <w:color w:val="1A3A5C"/>
                <w:sz w:val="18"/>
                <w:szCs w:val="18"/>
              </w:rPr>
              <w:t>Muhasebe / gelir-gider</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67FCB5DB"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64D98AF7"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08B521F7"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27E4BA5A" w14:textId="77777777" w:rsidR="00A664E4" w:rsidRDefault="00000000">
            <w:pPr>
              <w:spacing w:after="80"/>
              <w:jc w:val="center"/>
            </w:pPr>
            <w:r>
              <w:rPr>
                <w:color w:val="5A5A5A"/>
                <w:sz w:val="19"/>
                <w:szCs w:val="19"/>
              </w:rPr>
              <w:t>–</w:t>
            </w:r>
          </w:p>
        </w:tc>
      </w:tr>
      <w:tr w:rsidR="00A664E4" w14:paraId="55D4B472"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08A1685" w14:textId="77777777" w:rsidR="00A664E4" w:rsidRDefault="00000000">
            <w:pPr>
              <w:spacing w:after="80"/>
            </w:pPr>
            <w:r>
              <w:rPr>
                <w:b/>
                <w:bCs/>
                <w:color w:val="1A3A5C"/>
                <w:sz w:val="18"/>
                <w:szCs w:val="18"/>
              </w:rPr>
              <w:t>Fatura görüntüleri (OCR)</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5C8ED943"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6F31BD39"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62352466"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2BC23E17" w14:textId="77777777" w:rsidR="00A664E4" w:rsidRDefault="00000000">
            <w:pPr>
              <w:spacing w:after="80"/>
              <w:jc w:val="center"/>
            </w:pPr>
            <w:r>
              <w:rPr>
                <w:color w:val="5A5A5A"/>
                <w:sz w:val="19"/>
                <w:szCs w:val="19"/>
              </w:rPr>
              <w:t>–</w:t>
            </w:r>
          </w:p>
        </w:tc>
      </w:tr>
      <w:tr w:rsidR="00A664E4" w14:paraId="253031D0"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C1B6D2D" w14:textId="77777777" w:rsidR="00A664E4" w:rsidRDefault="00000000">
            <w:pPr>
              <w:spacing w:after="80"/>
            </w:pPr>
            <w:r>
              <w:rPr>
                <w:b/>
                <w:bCs/>
                <w:color w:val="1A3A5C"/>
                <w:sz w:val="18"/>
                <w:szCs w:val="18"/>
              </w:rPr>
              <w:t>CV / aday verileri</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2338498A"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416A0614"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1B780A08"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6725836F" w14:textId="77777777" w:rsidR="00A664E4" w:rsidRDefault="00000000">
            <w:pPr>
              <w:spacing w:after="80"/>
              <w:jc w:val="center"/>
            </w:pPr>
            <w:r>
              <w:rPr>
                <w:color w:val="5A5A5A"/>
                <w:sz w:val="19"/>
                <w:szCs w:val="19"/>
              </w:rPr>
              <w:t>–</w:t>
            </w:r>
          </w:p>
        </w:tc>
      </w:tr>
      <w:tr w:rsidR="00A664E4" w14:paraId="6E100685"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4F3AF09" w14:textId="77777777" w:rsidR="00A664E4" w:rsidRDefault="00000000">
            <w:pPr>
              <w:spacing w:after="80"/>
            </w:pPr>
            <w:r>
              <w:rPr>
                <w:b/>
                <w:bCs/>
                <w:color w:val="1A3A5C"/>
                <w:sz w:val="18"/>
                <w:szCs w:val="18"/>
              </w:rPr>
              <w:t>Stok hareketleri</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538EC821"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27A08E5B"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5581EFE8"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74DD6F9E" w14:textId="77777777" w:rsidR="00A664E4" w:rsidRDefault="00000000">
            <w:pPr>
              <w:spacing w:after="80"/>
              <w:jc w:val="center"/>
            </w:pPr>
            <w:r>
              <w:rPr>
                <w:b/>
                <w:bCs/>
                <w:color w:val="375623"/>
                <w:sz w:val="19"/>
                <w:szCs w:val="19"/>
              </w:rPr>
              <w:t>✓</w:t>
            </w:r>
          </w:p>
        </w:tc>
      </w:tr>
      <w:tr w:rsidR="00A664E4" w14:paraId="0A0330E0"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7D6FB8C" w14:textId="77777777" w:rsidR="00A664E4" w:rsidRDefault="00000000">
            <w:pPr>
              <w:spacing w:after="80"/>
            </w:pPr>
            <w:r>
              <w:rPr>
                <w:b/>
                <w:bCs/>
                <w:color w:val="1A3A5C"/>
                <w:sz w:val="18"/>
                <w:szCs w:val="18"/>
              </w:rPr>
              <w:t>Stok tahmin raporları</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0D7D24F8"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1500025B"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3C6722BE"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5BACAA04" w14:textId="77777777" w:rsidR="00A664E4" w:rsidRDefault="00000000">
            <w:pPr>
              <w:spacing w:after="80"/>
              <w:jc w:val="center"/>
            </w:pPr>
            <w:r>
              <w:rPr>
                <w:b/>
                <w:bCs/>
                <w:color w:val="375623"/>
                <w:sz w:val="19"/>
                <w:szCs w:val="19"/>
              </w:rPr>
              <w:t>✓</w:t>
            </w:r>
          </w:p>
        </w:tc>
      </w:tr>
      <w:tr w:rsidR="00A664E4" w14:paraId="579EE375"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776B78D" w14:textId="77777777" w:rsidR="00A664E4" w:rsidRDefault="00000000">
            <w:pPr>
              <w:spacing w:after="80"/>
            </w:pPr>
            <w:r>
              <w:rPr>
                <w:b/>
                <w:bCs/>
                <w:color w:val="1A3A5C"/>
                <w:sz w:val="18"/>
                <w:szCs w:val="18"/>
              </w:rPr>
              <w:t>Kullanıcı yönetimi</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606C5C36"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381A621A"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67325B28"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11DFF3F6" w14:textId="77777777" w:rsidR="00A664E4" w:rsidRDefault="00000000">
            <w:pPr>
              <w:spacing w:after="80"/>
              <w:jc w:val="center"/>
            </w:pPr>
            <w:r>
              <w:rPr>
                <w:color w:val="5A5A5A"/>
                <w:sz w:val="19"/>
                <w:szCs w:val="19"/>
              </w:rPr>
              <w:t>–</w:t>
            </w:r>
          </w:p>
        </w:tc>
      </w:tr>
      <w:tr w:rsidR="00A664E4" w14:paraId="00C45E2D" w14:textId="77777777">
        <w:tblPrEx>
          <w:tblCellMar>
            <w:top w:w="0" w:type="dxa"/>
            <w:bottom w:w="0" w:type="dxa"/>
          </w:tblCellMar>
        </w:tblPrEx>
        <w:tc>
          <w:tcPr>
            <w:tcW w:w="20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0588D719" w14:textId="77777777" w:rsidR="00A664E4" w:rsidRDefault="00000000">
            <w:pPr>
              <w:spacing w:after="80"/>
            </w:pPr>
            <w:r>
              <w:rPr>
                <w:b/>
                <w:bCs/>
                <w:color w:val="1A3A5C"/>
                <w:sz w:val="18"/>
                <w:szCs w:val="18"/>
              </w:rPr>
              <w:t>Sistem denetim kayıtları</w:t>
            </w:r>
          </w:p>
        </w:tc>
        <w:tc>
          <w:tcPr>
            <w:tcW w:w="1840" w:type="dxa"/>
            <w:tcBorders>
              <w:top w:val="single" w:sz="4" w:space="0" w:color="BDD7EE"/>
              <w:left w:val="single" w:sz="4" w:space="0" w:color="BDD7EE"/>
              <w:bottom w:val="single" w:sz="4" w:space="0" w:color="BDD7EE"/>
              <w:right w:val="single" w:sz="4" w:space="0" w:color="BDD7EE"/>
            </w:tcBorders>
            <w:shd w:val="clear" w:color="auto" w:fill="EBF1DE"/>
            <w:tcMar>
              <w:top w:w="100" w:type="dxa"/>
              <w:left w:w="150" w:type="dxa"/>
              <w:bottom w:w="100" w:type="dxa"/>
              <w:right w:w="150" w:type="dxa"/>
            </w:tcMar>
            <w:vAlign w:val="center"/>
          </w:tcPr>
          <w:p w14:paraId="6DB09A85" w14:textId="77777777" w:rsidR="00A664E4" w:rsidRDefault="00000000">
            <w:pPr>
              <w:spacing w:after="80"/>
              <w:jc w:val="center"/>
            </w:pPr>
            <w:r>
              <w:rPr>
                <w:b/>
                <w:bCs/>
                <w:color w:val="375623"/>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2B24C240"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3C3CD450" w14:textId="77777777" w:rsidR="00A664E4" w:rsidRDefault="00000000">
            <w:pPr>
              <w:spacing w:after="80"/>
              <w:jc w:val="center"/>
            </w:pPr>
            <w:r>
              <w:rPr>
                <w:color w:val="5A5A5A"/>
                <w:sz w:val="19"/>
                <w:szCs w:val="19"/>
              </w:rPr>
              <w:t>–</w:t>
            </w:r>
          </w:p>
        </w:tc>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100" w:type="dxa"/>
              <w:left w:w="150" w:type="dxa"/>
              <w:bottom w:w="100" w:type="dxa"/>
              <w:right w:w="150" w:type="dxa"/>
            </w:tcMar>
            <w:vAlign w:val="center"/>
          </w:tcPr>
          <w:p w14:paraId="04A9CA59" w14:textId="77777777" w:rsidR="00A664E4" w:rsidRDefault="00000000">
            <w:pPr>
              <w:spacing w:after="80"/>
              <w:jc w:val="center"/>
            </w:pPr>
            <w:r>
              <w:rPr>
                <w:color w:val="5A5A5A"/>
                <w:sz w:val="19"/>
                <w:szCs w:val="19"/>
              </w:rPr>
              <w:t>–</w:t>
            </w:r>
          </w:p>
        </w:tc>
      </w:tr>
    </w:tbl>
    <w:p w14:paraId="085D8D69" w14:textId="77777777" w:rsidR="00A664E4" w:rsidRDefault="00A664E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64E4" w14:paraId="5CD0BAAF" w14:textId="77777777">
        <w:tblPrEx>
          <w:tblCellMar>
            <w:top w:w="0" w:type="dxa"/>
            <w:bottom w:w="0" w:type="dxa"/>
          </w:tblCellMar>
        </w:tblPrEx>
        <w:tc>
          <w:tcPr>
            <w:tcW w:w="9360" w:type="dxa"/>
            <w:tcBorders>
              <w:top w:val="single" w:sz="4" w:space="0" w:color="1F7070"/>
              <w:left w:val="single" w:sz="4" w:space="0" w:color="1F7070"/>
              <w:bottom w:val="single" w:sz="4" w:space="0" w:color="1F7070"/>
              <w:right w:val="single" w:sz="4" w:space="0" w:color="1F7070"/>
            </w:tcBorders>
            <w:shd w:val="clear" w:color="auto" w:fill="E6F4F1"/>
            <w:tcMar>
              <w:top w:w="100" w:type="dxa"/>
              <w:left w:w="150" w:type="dxa"/>
              <w:bottom w:w="100" w:type="dxa"/>
              <w:right w:w="150" w:type="dxa"/>
            </w:tcMar>
            <w:vAlign w:val="center"/>
          </w:tcPr>
          <w:p w14:paraId="0806BD4E" w14:textId="77777777" w:rsidR="00A664E4" w:rsidRDefault="00000000">
            <w:pPr>
              <w:spacing w:after="60"/>
            </w:pPr>
            <w:r>
              <w:rPr>
                <w:b/>
                <w:bCs/>
                <w:color w:val="1F7070"/>
              </w:rPr>
              <w:t>🔒  En Az Yetki İlkesi (</w:t>
            </w:r>
            <w:proofErr w:type="spellStart"/>
            <w:r>
              <w:rPr>
                <w:b/>
                <w:bCs/>
                <w:color w:val="1F7070"/>
              </w:rPr>
              <w:t>Principle</w:t>
            </w:r>
            <w:proofErr w:type="spellEnd"/>
            <w:r>
              <w:rPr>
                <w:b/>
                <w:bCs/>
                <w:color w:val="1F7070"/>
              </w:rPr>
              <w:t xml:space="preserve"> of </w:t>
            </w:r>
            <w:proofErr w:type="spellStart"/>
            <w:r>
              <w:rPr>
                <w:b/>
                <w:bCs/>
                <w:color w:val="1F7070"/>
              </w:rPr>
              <w:t>Least</w:t>
            </w:r>
            <w:proofErr w:type="spellEnd"/>
            <w:r>
              <w:rPr>
                <w:b/>
                <w:bCs/>
                <w:color w:val="1F7070"/>
              </w:rPr>
              <w:t xml:space="preserve"> </w:t>
            </w:r>
            <w:proofErr w:type="spellStart"/>
            <w:r>
              <w:rPr>
                <w:b/>
                <w:bCs/>
                <w:color w:val="1F7070"/>
              </w:rPr>
              <w:t>Privilege</w:t>
            </w:r>
            <w:proofErr w:type="spellEnd"/>
            <w:r>
              <w:rPr>
                <w:b/>
                <w:bCs/>
                <w:color w:val="1F7070"/>
              </w:rPr>
              <w:t>)</w:t>
            </w:r>
          </w:p>
          <w:p w14:paraId="0599153F" w14:textId="77777777" w:rsidR="00A664E4" w:rsidRDefault="00000000">
            <w:pPr>
              <w:spacing w:after="80"/>
            </w:pPr>
            <w:r>
              <w:rPr>
                <w:sz w:val="19"/>
                <w:szCs w:val="19"/>
              </w:rPr>
              <w:lastRenderedPageBreak/>
              <w:t>Her rol, görevini yerine getirmek için gereken minimum erişim yetkisine sahiptir. Rol değişikliği veya görevden ayrılma durumunda sistem yöneticisi 24 saat içinde yetkileri günceller; eski yetkiler otomatik olarak devre dışı bırakılır.</w:t>
            </w:r>
          </w:p>
        </w:tc>
      </w:tr>
    </w:tbl>
    <w:p w14:paraId="4E96B4E3" w14:textId="77777777" w:rsidR="00A664E4" w:rsidRDefault="00A664E4">
      <w:pPr>
        <w:spacing w:before="100"/>
      </w:pPr>
    </w:p>
    <w:p w14:paraId="06A63A71" w14:textId="77777777" w:rsidR="00A664E4" w:rsidRDefault="00000000">
      <w:pPr>
        <w:pStyle w:val="Balk1"/>
        <w:pBdr>
          <w:bottom w:val="single" w:sz="8" w:space="1" w:color="1F7070"/>
        </w:pBdr>
      </w:pPr>
      <w:r>
        <w:t>8. Yasal Uyumluluk ve Referans Standartlar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664E4" w14:paraId="4F3691D5" w14:textId="77777777">
        <w:tblPrEx>
          <w:tblCellMar>
            <w:top w:w="0" w:type="dxa"/>
            <w:bottom w:w="0" w:type="dxa"/>
          </w:tblCellMar>
        </w:tblPrEx>
        <w:trPr>
          <w:tblHeader/>
        </w:trPr>
        <w:tc>
          <w:tcPr>
            <w:tcW w:w="3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21CA997" w14:textId="77777777" w:rsidR="00A664E4" w:rsidRDefault="00000000">
            <w:pPr>
              <w:spacing w:after="80"/>
              <w:jc w:val="center"/>
            </w:pPr>
            <w:r>
              <w:rPr>
                <w:b/>
                <w:bCs/>
                <w:color w:val="FFFFFF"/>
                <w:sz w:val="18"/>
                <w:szCs w:val="18"/>
              </w:rPr>
              <w:t>Standart / Mevzuat</w:t>
            </w:r>
          </w:p>
        </w:tc>
        <w:tc>
          <w:tcPr>
            <w:tcW w:w="616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10A2C399" w14:textId="77777777" w:rsidR="00A664E4" w:rsidRDefault="00000000">
            <w:pPr>
              <w:spacing w:after="80"/>
              <w:jc w:val="center"/>
            </w:pPr>
            <w:r>
              <w:rPr>
                <w:b/>
                <w:bCs/>
                <w:color w:val="FFFFFF"/>
                <w:sz w:val="18"/>
                <w:szCs w:val="18"/>
              </w:rPr>
              <w:t>İlgili Kapsam</w:t>
            </w:r>
          </w:p>
        </w:tc>
      </w:tr>
      <w:tr w:rsidR="00A664E4" w14:paraId="06F211B9"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7B857CA1" w14:textId="77777777" w:rsidR="00A664E4" w:rsidRDefault="00000000">
            <w:pPr>
              <w:spacing w:after="80"/>
            </w:pPr>
            <w:r>
              <w:rPr>
                <w:b/>
                <w:bCs/>
                <w:color w:val="1A3A5C"/>
                <w:sz w:val="18"/>
                <w:szCs w:val="18"/>
              </w:rPr>
              <w:t>6698 sayılı KVKK</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B0B2E0A" w14:textId="77777777" w:rsidR="00A664E4" w:rsidRDefault="00000000">
            <w:pPr>
              <w:spacing w:after="80"/>
            </w:pPr>
            <w:r>
              <w:rPr>
                <w:sz w:val="18"/>
                <w:szCs w:val="18"/>
              </w:rPr>
              <w:t>Kişisel veri toplama, işleme, saklama ve imha süreçlerinin tamamı</w:t>
            </w:r>
          </w:p>
        </w:tc>
      </w:tr>
      <w:tr w:rsidR="00A664E4" w14:paraId="64AA770B"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0F9EA2C1" w14:textId="77777777" w:rsidR="00A664E4" w:rsidRDefault="00000000">
            <w:pPr>
              <w:spacing w:after="80"/>
            </w:pPr>
            <w:r>
              <w:rPr>
                <w:b/>
                <w:bCs/>
                <w:color w:val="1A3A5C"/>
                <w:sz w:val="18"/>
                <w:szCs w:val="18"/>
              </w:rPr>
              <w:t xml:space="preserve">EU AI </w:t>
            </w:r>
            <w:proofErr w:type="spellStart"/>
            <w:r>
              <w:rPr>
                <w:b/>
                <w:bCs/>
                <w:color w:val="1A3A5C"/>
                <w:sz w:val="18"/>
                <w:szCs w:val="18"/>
              </w:rPr>
              <w:t>Act</w:t>
            </w:r>
            <w:proofErr w:type="spellEnd"/>
            <w:r>
              <w:rPr>
                <w:b/>
                <w:bCs/>
                <w:color w:val="1A3A5C"/>
                <w:sz w:val="18"/>
                <w:szCs w:val="18"/>
              </w:rPr>
              <w:t xml:space="preserve"> (2024)</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3D67099" w14:textId="77777777" w:rsidR="00A664E4" w:rsidRDefault="00000000">
            <w:pPr>
              <w:spacing w:after="80"/>
            </w:pPr>
            <w:r>
              <w:rPr>
                <w:sz w:val="18"/>
                <w:szCs w:val="18"/>
              </w:rPr>
              <w:t>Yüksek riskli AI sistemleri: CV analizi, OCR tabanlı finansal işlem</w:t>
            </w:r>
          </w:p>
        </w:tc>
      </w:tr>
      <w:tr w:rsidR="00A664E4" w14:paraId="68545FB2"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7AA5DC8D" w14:textId="77777777" w:rsidR="00A664E4" w:rsidRDefault="00000000">
            <w:pPr>
              <w:spacing w:after="80"/>
            </w:pPr>
            <w:r>
              <w:rPr>
                <w:b/>
                <w:bCs/>
                <w:color w:val="1A3A5C"/>
                <w:sz w:val="18"/>
                <w:szCs w:val="18"/>
              </w:rPr>
              <w:t>ISO/IEC 42001:2023</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80AFB38" w14:textId="77777777" w:rsidR="00A664E4" w:rsidRDefault="00000000">
            <w:pPr>
              <w:spacing w:after="80"/>
            </w:pPr>
            <w:r>
              <w:rPr>
                <w:sz w:val="18"/>
                <w:szCs w:val="18"/>
              </w:rPr>
              <w:t>AI yönetim sistemi gereksinimleri ve etik yapay zeka yönetişimi</w:t>
            </w:r>
          </w:p>
        </w:tc>
      </w:tr>
      <w:tr w:rsidR="00A664E4" w14:paraId="3534B105"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07E80D07" w14:textId="77777777" w:rsidR="00A664E4" w:rsidRDefault="00000000">
            <w:pPr>
              <w:spacing w:after="80"/>
            </w:pPr>
            <w:r>
              <w:rPr>
                <w:b/>
                <w:bCs/>
                <w:color w:val="1A3A5C"/>
                <w:sz w:val="18"/>
                <w:szCs w:val="18"/>
              </w:rPr>
              <w:t>ISO/IEC 27001:2022</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C488574" w14:textId="77777777" w:rsidR="00A664E4" w:rsidRDefault="00000000">
            <w:pPr>
              <w:spacing w:after="80"/>
            </w:pPr>
            <w:r>
              <w:rPr>
                <w:sz w:val="18"/>
                <w:szCs w:val="18"/>
              </w:rPr>
              <w:t>Bilgi güvenliği yönetim sistemi; veri gizliliği ve erişim kontrolü</w:t>
            </w:r>
          </w:p>
        </w:tc>
      </w:tr>
      <w:tr w:rsidR="00A664E4" w14:paraId="179BC609"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4177ECA6" w14:textId="77777777" w:rsidR="00A664E4" w:rsidRDefault="00000000">
            <w:pPr>
              <w:spacing w:after="80"/>
            </w:pPr>
            <w:r>
              <w:rPr>
                <w:b/>
                <w:bCs/>
                <w:color w:val="1A3A5C"/>
                <w:sz w:val="18"/>
                <w:szCs w:val="18"/>
              </w:rPr>
              <w:t>Vergi Usul Kanunu (VUK)</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30BE825C" w14:textId="77777777" w:rsidR="00A664E4" w:rsidRDefault="00000000">
            <w:pPr>
              <w:spacing w:after="80"/>
            </w:pPr>
            <w:r>
              <w:rPr>
                <w:sz w:val="18"/>
                <w:szCs w:val="18"/>
              </w:rPr>
              <w:t>Muhasebe ve fatura verilerinin 10 yıl saklanma zorunluluğu</w:t>
            </w:r>
          </w:p>
        </w:tc>
      </w:tr>
      <w:tr w:rsidR="00A664E4" w14:paraId="14E4C70E"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4E090D1A" w14:textId="77777777" w:rsidR="00A664E4" w:rsidRDefault="00000000">
            <w:pPr>
              <w:spacing w:after="80"/>
            </w:pPr>
            <w:r>
              <w:rPr>
                <w:b/>
                <w:bCs/>
                <w:color w:val="1A3A5C"/>
                <w:sz w:val="18"/>
                <w:szCs w:val="18"/>
              </w:rPr>
              <w:t>Türk Ticaret Kanunu (TTK)</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4C488360" w14:textId="77777777" w:rsidR="00A664E4" w:rsidRDefault="00000000">
            <w:pPr>
              <w:spacing w:after="80"/>
            </w:pPr>
            <w:r>
              <w:rPr>
                <w:sz w:val="18"/>
                <w:szCs w:val="18"/>
              </w:rPr>
              <w:t>Ticari defterlerin ve kayıtların muhafazası (5–10 yıl)</w:t>
            </w:r>
          </w:p>
        </w:tc>
      </w:tr>
      <w:tr w:rsidR="00A664E4" w14:paraId="6A8063E8"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27B51B03" w14:textId="77777777" w:rsidR="00A664E4" w:rsidRDefault="00000000">
            <w:pPr>
              <w:spacing w:after="80"/>
            </w:pPr>
            <w:r>
              <w:rPr>
                <w:b/>
                <w:bCs/>
                <w:color w:val="1A3A5C"/>
                <w:sz w:val="18"/>
                <w:szCs w:val="18"/>
              </w:rPr>
              <w:t>İş Kanunu Md. 5</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9D9FB08" w14:textId="77777777" w:rsidR="00A664E4" w:rsidRDefault="00000000">
            <w:pPr>
              <w:spacing w:after="80"/>
            </w:pPr>
            <w:r>
              <w:rPr>
                <w:sz w:val="18"/>
                <w:szCs w:val="18"/>
              </w:rPr>
              <w:t>İşe alımda eşit muamele ve ayrımcılık yasağı ilkesi</w:t>
            </w:r>
          </w:p>
        </w:tc>
      </w:tr>
      <w:tr w:rsidR="00A664E4" w14:paraId="33908B04" w14:textId="77777777">
        <w:tblPrEx>
          <w:tblCellMar>
            <w:top w:w="0" w:type="dxa"/>
            <w:bottom w:w="0" w:type="dxa"/>
          </w:tblCellMar>
        </w:tblPrEx>
        <w:tc>
          <w:tcPr>
            <w:tcW w:w="3200" w:type="dxa"/>
            <w:tcBorders>
              <w:top w:val="single" w:sz="4" w:space="0" w:color="BDD7EE"/>
              <w:left w:val="single" w:sz="4" w:space="0" w:color="BDD7EE"/>
              <w:bottom w:val="single" w:sz="4" w:space="0" w:color="BDD7EE"/>
              <w:right w:val="single" w:sz="4" w:space="0" w:color="BDD7EE"/>
            </w:tcBorders>
            <w:shd w:val="clear" w:color="auto" w:fill="E6F4F1"/>
            <w:tcMar>
              <w:top w:w="100" w:type="dxa"/>
              <w:left w:w="150" w:type="dxa"/>
              <w:bottom w:w="100" w:type="dxa"/>
              <w:right w:w="150" w:type="dxa"/>
            </w:tcMar>
            <w:vAlign w:val="center"/>
          </w:tcPr>
          <w:p w14:paraId="5A859ABD" w14:textId="77777777" w:rsidR="00A664E4" w:rsidRDefault="00000000">
            <w:pPr>
              <w:spacing w:after="80"/>
            </w:pPr>
            <w:r>
              <w:rPr>
                <w:b/>
                <w:bCs/>
                <w:color w:val="1A3A5C"/>
                <w:sz w:val="18"/>
                <w:szCs w:val="18"/>
              </w:rPr>
              <w:t>OWASP Top 10</w:t>
            </w:r>
          </w:p>
        </w:tc>
        <w:tc>
          <w:tcPr>
            <w:tcW w:w="6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528E2E3C" w14:textId="77777777" w:rsidR="00A664E4" w:rsidRDefault="00000000">
            <w:pPr>
              <w:spacing w:after="80"/>
            </w:pPr>
            <w:r>
              <w:rPr>
                <w:sz w:val="18"/>
                <w:szCs w:val="18"/>
              </w:rPr>
              <w:t>Web uygulaması güvenlik açıkları için geliştirme standartları</w:t>
            </w:r>
          </w:p>
        </w:tc>
      </w:tr>
    </w:tbl>
    <w:p w14:paraId="4B31DC6A" w14:textId="77777777" w:rsidR="00A664E4" w:rsidRDefault="00A664E4">
      <w:pPr>
        <w:spacing w:before="100"/>
      </w:pPr>
    </w:p>
    <w:p w14:paraId="52E19EAE" w14:textId="77777777" w:rsidR="00A664E4" w:rsidRDefault="00000000">
      <w:pPr>
        <w:pStyle w:val="Balk1"/>
        <w:pBdr>
          <w:bottom w:val="single" w:sz="8" w:space="1" w:color="1F7070"/>
        </w:pBdr>
      </w:pPr>
      <w:r>
        <w:t>9. Belge Versiyon Geçmişi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800"/>
        <w:gridCol w:w="2160"/>
        <w:gridCol w:w="4200"/>
      </w:tblGrid>
      <w:tr w:rsidR="00A664E4" w14:paraId="59DC7478" w14:textId="77777777">
        <w:tblPrEx>
          <w:tblCellMar>
            <w:top w:w="0" w:type="dxa"/>
            <w:bottom w:w="0" w:type="dxa"/>
          </w:tblCellMar>
        </w:tblPrEx>
        <w:trPr>
          <w:tblHeader/>
        </w:trPr>
        <w:tc>
          <w:tcPr>
            <w:tcW w:w="1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349160B0" w14:textId="77777777" w:rsidR="00A664E4" w:rsidRDefault="00000000">
            <w:pPr>
              <w:spacing w:after="80"/>
              <w:jc w:val="center"/>
            </w:pPr>
            <w:r>
              <w:rPr>
                <w:b/>
                <w:bCs/>
                <w:color w:val="FFFFFF"/>
                <w:sz w:val="18"/>
                <w:szCs w:val="18"/>
              </w:rPr>
              <w:t>Versiyon</w:t>
            </w:r>
          </w:p>
        </w:tc>
        <w:tc>
          <w:tcPr>
            <w:tcW w:w="18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483713DB" w14:textId="77777777" w:rsidR="00A664E4" w:rsidRDefault="00000000">
            <w:pPr>
              <w:spacing w:after="80"/>
              <w:jc w:val="center"/>
            </w:pPr>
            <w:r>
              <w:rPr>
                <w:b/>
                <w:bCs/>
                <w:color w:val="FFFFFF"/>
                <w:sz w:val="18"/>
                <w:szCs w:val="18"/>
              </w:rPr>
              <w:t>Tarih</w:t>
            </w:r>
          </w:p>
        </w:tc>
        <w:tc>
          <w:tcPr>
            <w:tcW w:w="216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0401A32F" w14:textId="77777777" w:rsidR="00A664E4" w:rsidRDefault="00000000">
            <w:pPr>
              <w:spacing w:after="80"/>
              <w:jc w:val="center"/>
            </w:pPr>
            <w:r>
              <w:rPr>
                <w:b/>
                <w:bCs/>
                <w:color w:val="FFFFFF"/>
                <w:sz w:val="18"/>
                <w:szCs w:val="18"/>
              </w:rPr>
              <w:t>Yazar</w:t>
            </w:r>
          </w:p>
        </w:tc>
        <w:tc>
          <w:tcPr>
            <w:tcW w:w="4200"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50" w:type="dxa"/>
              <w:bottom w:w="100" w:type="dxa"/>
              <w:right w:w="150" w:type="dxa"/>
            </w:tcMar>
            <w:vAlign w:val="center"/>
          </w:tcPr>
          <w:p w14:paraId="4DDE07C2" w14:textId="77777777" w:rsidR="00A664E4" w:rsidRDefault="00000000">
            <w:pPr>
              <w:spacing w:after="80"/>
              <w:jc w:val="center"/>
            </w:pPr>
            <w:r>
              <w:rPr>
                <w:b/>
                <w:bCs/>
                <w:color w:val="FFFFFF"/>
                <w:sz w:val="18"/>
                <w:szCs w:val="18"/>
              </w:rPr>
              <w:t>Değişiklik</w:t>
            </w:r>
          </w:p>
        </w:tc>
      </w:tr>
      <w:tr w:rsidR="00A664E4" w14:paraId="4F3C6297" w14:textId="77777777">
        <w:tblPrEx>
          <w:tblCellMar>
            <w:top w:w="0" w:type="dxa"/>
            <w:bottom w:w="0" w:type="dxa"/>
          </w:tblCellMar>
        </w:tblPrEx>
        <w:tc>
          <w:tcPr>
            <w:tcW w:w="1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96CF502" w14:textId="77777777" w:rsidR="00A664E4" w:rsidRDefault="00000000">
            <w:pPr>
              <w:spacing w:after="80"/>
              <w:jc w:val="center"/>
            </w:pPr>
            <w:r>
              <w:rPr>
                <w:b/>
                <w:bCs/>
                <w:sz w:val="18"/>
                <w:szCs w:val="18"/>
              </w:rPr>
              <w:t>1.0</w:t>
            </w:r>
          </w:p>
        </w:tc>
        <w:tc>
          <w:tcPr>
            <w:tcW w:w="18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40050A0" w14:textId="77777777" w:rsidR="00A664E4" w:rsidRDefault="00000000">
            <w:pPr>
              <w:spacing w:after="80"/>
              <w:jc w:val="center"/>
            </w:pPr>
            <w:r>
              <w:rPr>
                <w:sz w:val="18"/>
                <w:szCs w:val="18"/>
              </w:rPr>
              <w:t>30.04.2026</w:t>
            </w:r>
          </w:p>
        </w:tc>
        <w:tc>
          <w:tcPr>
            <w:tcW w:w="216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7B21F08C" w14:textId="77777777" w:rsidR="00A664E4" w:rsidRDefault="00000000">
            <w:pPr>
              <w:spacing w:after="80"/>
            </w:pPr>
            <w:r>
              <w:rPr>
                <w:sz w:val="18"/>
                <w:szCs w:val="18"/>
              </w:rPr>
              <w:t>Proje Yöneticisi</w:t>
            </w:r>
          </w:p>
        </w:tc>
        <w:tc>
          <w:tcPr>
            <w:tcW w:w="4200" w:type="dxa"/>
            <w:tcBorders>
              <w:top w:val="single" w:sz="4" w:space="0" w:color="BDD7EE"/>
              <w:left w:val="single" w:sz="4" w:space="0" w:color="BDD7EE"/>
              <w:bottom w:val="single" w:sz="4" w:space="0" w:color="BDD7EE"/>
              <w:right w:val="single" w:sz="4" w:space="0" w:color="BDD7EE"/>
            </w:tcBorders>
            <w:shd w:val="clear" w:color="auto" w:fill="F5F8FC"/>
            <w:tcMar>
              <w:top w:w="100" w:type="dxa"/>
              <w:left w:w="150" w:type="dxa"/>
              <w:bottom w:w="100" w:type="dxa"/>
              <w:right w:w="150" w:type="dxa"/>
            </w:tcMar>
            <w:vAlign w:val="center"/>
          </w:tcPr>
          <w:p w14:paraId="601636AD" w14:textId="77777777" w:rsidR="00A664E4" w:rsidRDefault="00000000">
            <w:pPr>
              <w:spacing w:after="80"/>
            </w:pPr>
            <w:r>
              <w:rPr>
                <w:sz w:val="18"/>
                <w:szCs w:val="18"/>
              </w:rPr>
              <w:t>İlk sürüm. 7 etik ilke alanı ve KVKK uyum gereksinimleri tanımlandı.</w:t>
            </w:r>
          </w:p>
        </w:tc>
      </w:tr>
    </w:tbl>
    <w:p w14:paraId="5A9F093B" w14:textId="77777777" w:rsidR="00A664E4" w:rsidRDefault="00A664E4">
      <w:pPr>
        <w:spacing w:before="200"/>
      </w:pPr>
    </w:p>
    <w:p w14:paraId="2231F620" w14:textId="77777777" w:rsidR="00A664E4" w:rsidRDefault="00000000">
      <w:pPr>
        <w:spacing w:before="60" w:after="100"/>
        <w:jc w:val="both"/>
      </w:pPr>
      <w:r>
        <w:rPr>
          <w:i/>
          <w:iCs/>
          <w:color w:val="5A5A5A"/>
        </w:rPr>
        <w:t xml:space="preserve">Bu belge; 6698 sayılı KVKK, EU AI </w:t>
      </w:r>
      <w:proofErr w:type="spellStart"/>
      <w:r>
        <w:rPr>
          <w:i/>
          <w:iCs/>
          <w:color w:val="5A5A5A"/>
        </w:rPr>
        <w:t>Act</w:t>
      </w:r>
      <w:proofErr w:type="spellEnd"/>
      <w:r>
        <w:rPr>
          <w:i/>
          <w:iCs/>
          <w:color w:val="5A5A5A"/>
        </w:rPr>
        <w:t xml:space="preserve">, ISO/IEC 42001 ve IEEE </w:t>
      </w:r>
      <w:proofErr w:type="spellStart"/>
      <w:r>
        <w:rPr>
          <w:i/>
          <w:iCs/>
          <w:color w:val="5A5A5A"/>
        </w:rPr>
        <w:t>Std</w:t>
      </w:r>
      <w:proofErr w:type="spellEnd"/>
      <w:r>
        <w:rPr>
          <w:i/>
          <w:iCs/>
          <w:color w:val="5A5A5A"/>
        </w:rPr>
        <w:t>. 1058 çerçevesinde hazırlanmış olup projenin tüm AI bileşenlerinde etik ve hukuki uyumu güvence altına almayı amaçlamaktadır.</w:t>
      </w:r>
    </w:p>
    <w:sectPr w:rsidR="00A664E4">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6331" w14:textId="77777777" w:rsidR="00803423" w:rsidRDefault="00803423">
      <w:r>
        <w:separator/>
      </w:r>
    </w:p>
  </w:endnote>
  <w:endnote w:type="continuationSeparator" w:id="0">
    <w:p w14:paraId="7DB1D133" w14:textId="77777777" w:rsidR="00803423" w:rsidRDefault="0080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106F" w14:textId="77777777" w:rsidR="00A664E4" w:rsidRDefault="00000000">
    <w:pPr>
      <w:pBdr>
        <w:top w:val="single" w:sz="6" w:space="1" w:color="1F7070"/>
      </w:pBdr>
      <w:tabs>
        <w:tab w:val="right" w:pos="9026"/>
      </w:tabs>
      <w:spacing w:before="80"/>
    </w:pPr>
    <w:r>
      <w:rPr>
        <w:color w:val="5A5A5A"/>
        <w:sz w:val="16"/>
        <w:szCs w:val="16"/>
      </w:rPr>
      <w:t>Gizli – Dahili Kullanım</w:t>
    </w:r>
    <w:r>
      <w:rPr>
        <w:color w:val="5A5A5A"/>
        <w:sz w:val="16"/>
        <w:szCs w:val="16"/>
      </w:rPr>
      <w:tab/>
      <w:t xml:space="preserve">Sayfa </w:t>
    </w:r>
    <w:r>
      <w:fldChar w:fldCharType="begin"/>
    </w:r>
    <w:r>
      <w:instrText>PAGE</w:instrText>
    </w:r>
    <w:r>
      <w:fldChar w:fldCharType="separate"/>
    </w:r>
    <w:r w:rsidR="00D310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94F2" w14:textId="77777777" w:rsidR="00803423" w:rsidRDefault="00803423">
      <w:r>
        <w:separator/>
      </w:r>
    </w:p>
  </w:footnote>
  <w:footnote w:type="continuationSeparator" w:id="0">
    <w:p w14:paraId="306B007A" w14:textId="77777777" w:rsidR="00803423" w:rsidRDefault="0080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A76" w14:textId="77777777" w:rsidR="00A664E4" w:rsidRDefault="00000000">
    <w:pPr>
      <w:pBdr>
        <w:bottom w:val="single" w:sz="6" w:space="1" w:color="1F7070"/>
      </w:pBdr>
      <w:tabs>
        <w:tab w:val="right" w:pos="9026"/>
      </w:tabs>
      <w:spacing w:after="80"/>
    </w:pPr>
    <w:r>
      <w:rPr>
        <w:color w:val="5A5A5A"/>
        <w:sz w:val="16"/>
        <w:szCs w:val="16"/>
      </w:rPr>
      <w:t>ERP Sistemi – Etik Değerlendirme ve Veri Gizliliği</w:t>
    </w:r>
    <w:r>
      <w:rPr>
        <w:color w:val="5A5A5A"/>
        <w:sz w:val="16"/>
        <w:szCs w:val="16"/>
      </w:rPr>
      <w:tab/>
      <w:t>ERP-SPMP-007 |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361"/>
    <w:multiLevelType w:val="hybridMultilevel"/>
    <w:tmpl w:val="55866524"/>
    <w:lvl w:ilvl="0" w:tplc="B004F7E2">
      <w:start w:val="1"/>
      <w:numFmt w:val="bullet"/>
      <w:lvlText w:val="•"/>
      <w:lvlJc w:val="left"/>
      <w:pPr>
        <w:ind w:left="720" w:hanging="360"/>
      </w:pPr>
    </w:lvl>
    <w:lvl w:ilvl="1" w:tplc="4A10BB1E">
      <w:numFmt w:val="decimal"/>
      <w:lvlText w:val=""/>
      <w:lvlJc w:val="left"/>
    </w:lvl>
    <w:lvl w:ilvl="2" w:tplc="DC4E1766">
      <w:numFmt w:val="decimal"/>
      <w:lvlText w:val=""/>
      <w:lvlJc w:val="left"/>
    </w:lvl>
    <w:lvl w:ilvl="3" w:tplc="FBC670A2">
      <w:numFmt w:val="decimal"/>
      <w:lvlText w:val=""/>
      <w:lvlJc w:val="left"/>
    </w:lvl>
    <w:lvl w:ilvl="4" w:tplc="66D21706">
      <w:numFmt w:val="decimal"/>
      <w:lvlText w:val=""/>
      <w:lvlJc w:val="left"/>
    </w:lvl>
    <w:lvl w:ilvl="5" w:tplc="81004C72">
      <w:numFmt w:val="decimal"/>
      <w:lvlText w:val=""/>
      <w:lvlJc w:val="left"/>
    </w:lvl>
    <w:lvl w:ilvl="6" w:tplc="2F38D91C">
      <w:numFmt w:val="decimal"/>
      <w:lvlText w:val=""/>
      <w:lvlJc w:val="left"/>
    </w:lvl>
    <w:lvl w:ilvl="7" w:tplc="85CEDA6A">
      <w:numFmt w:val="decimal"/>
      <w:lvlText w:val=""/>
      <w:lvlJc w:val="left"/>
    </w:lvl>
    <w:lvl w:ilvl="8" w:tplc="9F2C0B8E">
      <w:numFmt w:val="decimal"/>
      <w:lvlText w:val=""/>
      <w:lvlJc w:val="left"/>
    </w:lvl>
  </w:abstractNum>
  <w:abstractNum w:abstractNumId="1" w15:restartNumberingAfterBreak="0">
    <w:nsid w:val="26F00E4F"/>
    <w:multiLevelType w:val="hybridMultilevel"/>
    <w:tmpl w:val="4D4CE5DC"/>
    <w:lvl w:ilvl="0" w:tplc="AB4E5C06">
      <w:start w:val="1"/>
      <w:numFmt w:val="decimal"/>
      <w:lvlText w:val="%1."/>
      <w:lvlJc w:val="left"/>
      <w:pPr>
        <w:ind w:left="720" w:hanging="360"/>
      </w:pPr>
    </w:lvl>
    <w:lvl w:ilvl="1" w:tplc="BBDC564A">
      <w:numFmt w:val="decimal"/>
      <w:lvlText w:val=""/>
      <w:lvlJc w:val="left"/>
    </w:lvl>
    <w:lvl w:ilvl="2" w:tplc="ABDA7956">
      <w:numFmt w:val="decimal"/>
      <w:lvlText w:val=""/>
      <w:lvlJc w:val="left"/>
    </w:lvl>
    <w:lvl w:ilvl="3" w:tplc="34E8236C">
      <w:numFmt w:val="decimal"/>
      <w:lvlText w:val=""/>
      <w:lvlJc w:val="left"/>
    </w:lvl>
    <w:lvl w:ilvl="4" w:tplc="298651F6">
      <w:numFmt w:val="decimal"/>
      <w:lvlText w:val=""/>
      <w:lvlJc w:val="left"/>
    </w:lvl>
    <w:lvl w:ilvl="5" w:tplc="B9244B92">
      <w:numFmt w:val="decimal"/>
      <w:lvlText w:val=""/>
      <w:lvlJc w:val="left"/>
    </w:lvl>
    <w:lvl w:ilvl="6" w:tplc="838E858C">
      <w:numFmt w:val="decimal"/>
      <w:lvlText w:val=""/>
      <w:lvlJc w:val="left"/>
    </w:lvl>
    <w:lvl w:ilvl="7" w:tplc="BA96BE26">
      <w:numFmt w:val="decimal"/>
      <w:lvlText w:val=""/>
      <w:lvlJc w:val="left"/>
    </w:lvl>
    <w:lvl w:ilvl="8" w:tplc="5CB4FBB8">
      <w:numFmt w:val="decimal"/>
      <w:lvlText w:val=""/>
      <w:lvlJc w:val="left"/>
    </w:lvl>
  </w:abstractNum>
  <w:abstractNum w:abstractNumId="2" w15:restartNumberingAfterBreak="0">
    <w:nsid w:val="54482427"/>
    <w:multiLevelType w:val="hybridMultilevel"/>
    <w:tmpl w:val="92F65A8E"/>
    <w:lvl w:ilvl="0" w:tplc="6C8EDB26">
      <w:start w:val="1"/>
      <w:numFmt w:val="bullet"/>
      <w:lvlText w:val="●"/>
      <w:lvlJc w:val="left"/>
      <w:pPr>
        <w:ind w:left="720" w:hanging="360"/>
      </w:pPr>
    </w:lvl>
    <w:lvl w:ilvl="1" w:tplc="C40C7E8A">
      <w:start w:val="1"/>
      <w:numFmt w:val="bullet"/>
      <w:lvlText w:val="○"/>
      <w:lvlJc w:val="left"/>
      <w:pPr>
        <w:ind w:left="1440" w:hanging="360"/>
      </w:pPr>
    </w:lvl>
    <w:lvl w:ilvl="2" w:tplc="DB44671C">
      <w:start w:val="1"/>
      <w:numFmt w:val="bullet"/>
      <w:lvlText w:val="■"/>
      <w:lvlJc w:val="left"/>
      <w:pPr>
        <w:ind w:left="2160" w:hanging="360"/>
      </w:pPr>
    </w:lvl>
    <w:lvl w:ilvl="3" w:tplc="3A402732">
      <w:start w:val="1"/>
      <w:numFmt w:val="bullet"/>
      <w:lvlText w:val="●"/>
      <w:lvlJc w:val="left"/>
      <w:pPr>
        <w:ind w:left="2880" w:hanging="360"/>
      </w:pPr>
    </w:lvl>
    <w:lvl w:ilvl="4" w:tplc="247E5FDC">
      <w:start w:val="1"/>
      <w:numFmt w:val="bullet"/>
      <w:lvlText w:val="○"/>
      <w:lvlJc w:val="left"/>
      <w:pPr>
        <w:ind w:left="3600" w:hanging="360"/>
      </w:pPr>
    </w:lvl>
    <w:lvl w:ilvl="5" w:tplc="CF9E9ECC">
      <w:start w:val="1"/>
      <w:numFmt w:val="bullet"/>
      <w:lvlText w:val="■"/>
      <w:lvlJc w:val="left"/>
      <w:pPr>
        <w:ind w:left="4320" w:hanging="360"/>
      </w:pPr>
    </w:lvl>
    <w:lvl w:ilvl="6" w:tplc="91DE76E6">
      <w:start w:val="1"/>
      <w:numFmt w:val="bullet"/>
      <w:lvlText w:val="●"/>
      <w:lvlJc w:val="left"/>
      <w:pPr>
        <w:ind w:left="5040" w:hanging="360"/>
      </w:pPr>
    </w:lvl>
    <w:lvl w:ilvl="7" w:tplc="B4C8CC9C">
      <w:start w:val="1"/>
      <w:numFmt w:val="bullet"/>
      <w:lvlText w:val="●"/>
      <w:lvlJc w:val="left"/>
      <w:pPr>
        <w:ind w:left="5760" w:hanging="360"/>
      </w:pPr>
    </w:lvl>
    <w:lvl w:ilvl="8" w:tplc="F9806B78">
      <w:start w:val="1"/>
      <w:numFmt w:val="bullet"/>
      <w:lvlText w:val="●"/>
      <w:lvlJc w:val="left"/>
      <w:pPr>
        <w:ind w:left="6480" w:hanging="360"/>
      </w:pPr>
    </w:lvl>
  </w:abstractNum>
  <w:abstractNum w:abstractNumId="3" w15:restartNumberingAfterBreak="0">
    <w:nsid w:val="761B33AA"/>
    <w:multiLevelType w:val="hybridMultilevel"/>
    <w:tmpl w:val="5BC051C4"/>
    <w:lvl w:ilvl="0" w:tplc="3EDA8EE6">
      <w:start w:val="1"/>
      <w:numFmt w:val="bullet"/>
      <w:lvlText w:val="–"/>
      <w:lvlJc w:val="left"/>
      <w:pPr>
        <w:ind w:left="720" w:hanging="360"/>
      </w:pPr>
    </w:lvl>
    <w:lvl w:ilvl="1" w:tplc="B75CB906">
      <w:numFmt w:val="decimal"/>
      <w:lvlText w:val=""/>
      <w:lvlJc w:val="left"/>
    </w:lvl>
    <w:lvl w:ilvl="2" w:tplc="AE94F41E">
      <w:numFmt w:val="decimal"/>
      <w:lvlText w:val=""/>
      <w:lvlJc w:val="left"/>
    </w:lvl>
    <w:lvl w:ilvl="3" w:tplc="CBCC0A34">
      <w:numFmt w:val="decimal"/>
      <w:lvlText w:val=""/>
      <w:lvlJc w:val="left"/>
    </w:lvl>
    <w:lvl w:ilvl="4" w:tplc="C100AD2E">
      <w:numFmt w:val="decimal"/>
      <w:lvlText w:val=""/>
      <w:lvlJc w:val="left"/>
    </w:lvl>
    <w:lvl w:ilvl="5" w:tplc="736C671C">
      <w:numFmt w:val="decimal"/>
      <w:lvlText w:val=""/>
      <w:lvlJc w:val="left"/>
    </w:lvl>
    <w:lvl w:ilvl="6" w:tplc="33CC6498">
      <w:numFmt w:val="decimal"/>
      <w:lvlText w:val=""/>
      <w:lvlJc w:val="left"/>
    </w:lvl>
    <w:lvl w:ilvl="7" w:tplc="7E2CD1D0">
      <w:numFmt w:val="decimal"/>
      <w:lvlText w:val=""/>
      <w:lvlJc w:val="left"/>
    </w:lvl>
    <w:lvl w:ilvl="8" w:tplc="A7A882E2">
      <w:numFmt w:val="decimal"/>
      <w:lvlText w:val=""/>
      <w:lvlJc w:val="left"/>
    </w:lvl>
  </w:abstractNum>
  <w:num w:numId="1" w16cid:durableId="805466190">
    <w:abstractNumId w:val="2"/>
    <w:lvlOverride w:ilvl="0">
      <w:startOverride w:val="1"/>
    </w:lvlOverride>
  </w:num>
  <w:num w:numId="2" w16cid:durableId="8795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E4"/>
    <w:rsid w:val="0004288A"/>
    <w:rsid w:val="00803423"/>
    <w:rsid w:val="00A664E4"/>
    <w:rsid w:val="00D31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A722"/>
  <w15:docId w15:val="{ACC7AF90-BD30-4F11-BF3E-BC103F66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1F1F"/>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400" w:after="180"/>
      <w:outlineLvl w:val="0"/>
    </w:pPr>
    <w:rPr>
      <w:b/>
      <w:bCs/>
      <w:color w:val="1A3A5C"/>
      <w:sz w:val="30"/>
      <w:szCs w:val="30"/>
    </w:rPr>
  </w:style>
  <w:style w:type="paragraph" w:styleId="Balk2">
    <w:name w:val="heading 2"/>
    <w:uiPriority w:val="9"/>
    <w:unhideWhenUsed/>
    <w:qFormat/>
    <w:pPr>
      <w:spacing w:before="280" w:after="120"/>
      <w:outlineLvl w:val="1"/>
    </w:pPr>
    <w:rPr>
      <w:b/>
      <w:bCs/>
      <w:color w:val="1F7070"/>
      <w:sz w:val="24"/>
      <w:szCs w:val="24"/>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Barış YURTSEVEN</cp:lastModifiedBy>
  <cp:revision>2</cp:revision>
  <dcterms:created xsi:type="dcterms:W3CDTF">2026-04-30T07:05:00Z</dcterms:created>
  <dcterms:modified xsi:type="dcterms:W3CDTF">2026-04-30T07:08:00Z</dcterms:modified>
</cp:coreProperties>
</file>